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  <w:highlight w:val="none"/>
          <w:lang w:val="ru-RU"/>
        </w:rPr>
      </w:r>
      <w:r>
        <w:rPr>
          <w:b/>
          <w:sz w:val="32"/>
          <w:szCs w:val="32"/>
          <w:highlight w:val="none"/>
          <w:lang w:val="ru-RU"/>
        </w:rPr>
      </w:r>
    </w:p>
    <w:p>
      <w:pPr>
        <w:pStyle w:val="895"/>
        <w:jc w:val="center"/>
        <w:rPr>
          <w:b/>
          <w:bCs/>
          <w:sz w:val="32"/>
          <w:szCs w:val="32"/>
          <w:highlight w:val="none"/>
          <w:lang w:val="ru-RU"/>
        </w:rPr>
      </w:pPr>
      <w:r>
        <w:rPr>
          <w:b/>
          <w:sz w:val="32"/>
          <w:szCs w:val="32"/>
          <w:lang w:val="ru-RU"/>
        </w:rPr>
        <w:t xml:space="preserve">Доклад</w:t>
      </w:r>
      <w:r>
        <w:rPr>
          <w:b/>
          <w:bCs/>
          <w:sz w:val="32"/>
          <w:szCs w:val="32"/>
          <w:highlight w:val="none"/>
          <w:lang w:val="ru-RU"/>
        </w:rPr>
      </w:r>
    </w:p>
    <w:p>
      <w:pPr>
        <w:pStyle w:val="895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главы администрации городского</w:t>
      </w:r>
      <w:r>
        <w:rPr>
          <w:b/>
          <w:sz w:val="28"/>
          <w:szCs w:val="28"/>
        </w:rPr>
        <w:t xml:space="preserve">/муниципального</w:t>
      </w:r>
      <w:r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о достигнутых </w:t>
      </w:r>
      <w:r>
        <w:rPr>
          <w:b/>
          <w:sz w:val="28"/>
          <w:szCs w:val="28"/>
        </w:rPr>
        <w:t xml:space="preserve">значениях </w:t>
      </w:r>
      <w:r>
        <w:rPr>
          <w:b/>
          <w:sz w:val="28"/>
          <w:szCs w:val="28"/>
        </w:rPr>
        <w:t xml:space="preserve">показател</w:t>
      </w:r>
      <w:r>
        <w:rPr>
          <w:b/>
          <w:sz w:val="28"/>
          <w:szCs w:val="28"/>
        </w:rPr>
        <w:t xml:space="preserve">ей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оценки эффективности деятельности ОМСУ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год и их планируемых значениях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на 3-летний период</w:t>
      </w:r>
      <w:r>
        <w:rPr>
          <w:b/>
          <w:sz w:val="28"/>
          <w:szCs w:val="28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9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ind w:firstLine="708"/>
        <w:jc w:val="both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Структура текстовой части доклад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определяется перечнем показателей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мониторинга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эффективности деятельности ОМСУ и установлена распоряжением Правительства Нижегородской области от 20 марта 2013 г.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546-р «Об оценке эффективности деятельности органов местного самоуправления городских окру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гов и муниципальных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районов 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ижегородской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3"/>
        <w:jc w:val="both"/>
        <w:spacing w:before="24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. Краткое описание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,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03"/>
        <w:jc w:val="both"/>
        <w:spacing w:before="240"/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7"/>
          <w:szCs w:val="27"/>
        </w:rPr>
        <w:t xml:space="preserve">`</w:t>
      </w:r>
      <w:r>
        <w:rPr>
          <w:sz w:val="27"/>
          <w:szCs w:val="27"/>
        </w:rPr>
        <w:t xml:space="preserve">Бутурлинский муниципальный округ находится в юго-восточной части Нижегородской области и занимает территорию 1105,2 кв.км. </w:t>
      </w:r>
      <w:r>
        <w:rPr>
          <w:sz w:val="28"/>
          <w:szCs w:val="28"/>
        </w:rPr>
        <w:t xml:space="preserve">Граничит с </w:t>
      </w:r>
      <w:r>
        <w:fldChar w:fldCharType="begin"/>
      </w:r>
      <w:r>
        <w:instrText xml:space="preserve">HYPERLINK "https://ru.wikipedia.org/wiki/%D0%9F%D0%B5%D1%80%D0%B5%D0%B2%D0%BE%D0%B7%D1%81%D0%BA%D0%B8%D0%B9_%D1%80%D0%B0%D0%B9%D0%BE%D0%BD" \o "Перевозский район"</w:instrText>
      </w:r>
      <w:r>
        <w:fldChar w:fldCharType="separate"/>
      </w:r>
      <w:r>
        <w:rPr>
          <w:sz w:val="28"/>
          <w:szCs w:val="28"/>
        </w:rPr>
        <w:t xml:space="preserve">Перевозским</w:t>
      </w:r>
      <w:r>
        <w:fldChar w:fldCharType="end"/>
      </w:r>
      <w:r>
        <w:rPr>
          <w:sz w:val="28"/>
          <w:szCs w:val="28"/>
        </w:rPr>
        <w:t xml:space="preserve"> городским округом</w:t>
      </w:r>
      <w:r>
        <w:rPr>
          <w:sz w:val="28"/>
          <w:szCs w:val="28"/>
        </w:rPr>
        <w:t xml:space="preserve">, </w:t>
      </w:r>
      <w:r>
        <w:fldChar w:fldCharType="begin"/>
      </w:r>
      <w:r>
        <w:instrText xml:space="preserve">HYPERLINK "https://ru.wikipedia.org/wiki/%D0%93%D0%B0%D0%B3%D0%B8%D0%BD%D1%81%D0%BA%D0%B8%D0%B9_%D1%80%D0%B0%D0%B9%D0%BE%D0%BD" \o "Гагинский район"</w:instrText>
      </w:r>
      <w:r>
        <w:fldChar w:fldCharType="separate"/>
      </w:r>
      <w:r>
        <w:rPr>
          <w:sz w:val="28"/>
          <w:szCs w:val="28"/>
        </w:rPr>
        <w:t xml:space="preserve">Гагинским</w:t>
      </w:r>
      <w: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instrText xml:space="preserve">HYPERLINK "https://ru.wikipedia.org/wiki/%D0%A8%D0%B0%D1%82%D0%BA%D0%BE%D0%B2%D1%81%D0%BA%D0%B8%D0%B9_%D1%80%D0%B0%D0%B9%D0%BE%D0%BD" \o "Шатковский район"</w:instrText>
      </w:r>
      <w:r>
        <w:fldChar w:fldCharType="separate"/>
      </w:r>
      <w:r>
        <w:rPr>
          <w:sz w:val="28"/>
          <w:szCs w:val="28"/>
        </w:rPr>
        <w:t xml:space="preserve">Шатковским</w:t>
      </w:r>
      <w: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instrText xml:space="preserve">HYPERLINK "https://ru.wikipedia.org/wiki/%D0%91%D0%BE%D0%BB%D1%8C%D1%88%D0%B5%D0%BC%D1%83%D1%80%D0%B0%D1%88%D0%BA%D0%B8%D0%BD%D1%81%D0%BA%D0%B8%D0%B9_%D1%80%D0%B0%D0%B9%D0%BE%D0%BD" \o "Большемурашкинский район"</w:instrText>
      </w:r>
      <w:r>
        <w:fldChar w:fldCharType="separate"/>
      </w:r>
      <w:r>
        <w:rPr>
          <w:sz w:val="28"/>
          <w:szCs w:val="28"/>
        </w:rPr>
        <w:t xml:space="preserve">Большемурашкинским</w:t>
      </w:r>
      <w: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instrText xml:space="preserve">HYPERLINK "https://ru.wikipedia.org/wiki/%D0%A1%D0%B5%D1%80%D0%B3%D0%B0%D1%87%D1%81%D0%BA%D0%B8%D0%B9_%D1%80%D0%B0%D0%B9%D0%BE%D0%BD" \o "Сергачский район"</w:instrText>
      </w:r>
      <w:r>
        <w:fldChar w:fldCharType="separate"/>
      </w:r>
      <w:r>
        <w:rPr>
          <w:sz w:val="28"/>
          <w:szCs w:val="28"/>
        </w:rPr>
        <w:t xml:space="preserve">Сергачским</w:t>
      </w:r>
      <w: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instrText xml:space="preserve">HYPERLINK "https://ru.wikipedia.org/wiki/%D0%9A%D0%BD%D1%8F%D0%B3%D0%B8%D0%BD%D0%B8%D0%BD%D1%81%D0%BA%D0%B8%D0%B9_%D1%80%D0%B0%D0%B9%D0%BE%D0%BD" \o "Княгининский район"</w:instrText>
      </w:r>
      <w:r>
        <w:fldChar w:fldCharType="separate"/>
      </w:r>
      <w:r>
        <w:rPr>
          <w:sz w:val="28"/>
          <w:szCs w:val="28"/>
        </w:rPr>
        <w:t xml:space="preserve">Княгининским</w: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муниципальными округами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Административный центр – р.п. Бутурлино, находится в центральной части округа на  расстоянии 121 км до Н.Новгорода. По территории проходит железная дорога Москва - Красноярск, станция Смагино находится в границах р.п.Бутурлино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скоростн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автомобильн</w:t>
      </w:r>
      <w:r>
        <w:rPr>
          <w:sz w:val="28"/>
          <w:szCs w:val="28"/>
        </w:rPr>
        <w:t xml:space="preserve">ая</w:t>
      </w:r>
      <w:r>
        <w:rPr>
          <w:sz w:val="28"/>
          <w:szCs w:val="28"/>
        </w:rPr>
        <w:t xml:space="preserve"> дорог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 М12</w:t>
      </w:r>
      <w:r>
        <w:rPr>
          <w:sz w:val="28"/>
          <w:szCs w:val="28"/>
        </w:rPr>
        <w:t xml:space="preserve"> Москва - Казань - Екатеринбург.</w:t>
      </w:r>
      <w:r>
        <w:rPr>
          <w:sz w:val="28"/>
          <w:szCs w:val="28"/>
        </w:rPr>
        <w:t xml:space="preserve"> Транспортная связь с населенными пунктами округа осуществляется по асфальтированным дорогам.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line="360" w:lineRule="auto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 xml:space="preserve">Главный ресурс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– плодородные черноземные почвы. </w:t>
      </w:r>
      <w:r>
        <w:rPr>
          <w:rFonts w:eastAsia="Calibri"/>
          <w:sz w:val="28"/>
          <w:szCs w:val="28"/>
        </w:rPr>
        <w:t xml:space="preserve">Из общей земельной площади 15% занято лесами – 17037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га (преобладают лиственные), </w:t>
      </w:r>
      <w:r>
        <w:rPr>
          <w:sz w:val="28"/>
          <w:szCs w:val="28"/>
        </w:rPr>
        <w:t xml:space="preserve">77% </w:t>
      </w:r>
      <w:r>
        <w:rPr>
          <w:rFonts w:eastAsia="Calibri"/>
          <w:sz w:val="28"/>
          <w:szCs w:val="28"/>
        </w:rPr>
        <w:t xml:space="preserve">сельскохозяйственны</w:t>
      </w:r>
      <w:r>
        <w:rPr>
          <w:sz w:val="28"/>
          <w:szCs w:val="28"/>
        </w:rPr>
        <w:t xml:space="preserve">е</w:t>
      </w:r>
      <w:r>
        <w:rPr>
          <w:rFonts w:eastAsia="Calibri"/>
          <w:sz w:val="28"/>
          <w:szCs w:val="28"/>
        </w:rPr>
        <w:t xml:space="preserve"> угодья – </w:t>
      </w:r>
      <w:r>
        <w:rPr>
          <w:sz w:val="28"/>
          <w:szCs w:val="28"/>
        </w:rPr>
        <w:t xml:space="preserve">85431</w:t>
      </w:r>
      <w:r>
        <w:rPr>
          <w:rFonts w:eastAsia="Calibri"/>
          <w:sz w:val="28"/>
          <w:szCs w:val="28"/>
        </w:rPr>
        <w:t xml:space="preserve"> га, в т.ч. пашней – 42029 га. Из полезных ископаемых добываются известняки и доломиты сухие и обводненные, строительный песок. </w:t>
      </w:r>
      <w:r>
        <w:rPr>
          <w:rFonts w:eastAsia="Calibri"/>
          <w:sz w:val="28"/>
          <w:szCs w:val="28"/>
        </w:rPr>
        <w:t xml:space="preserve">По территории округа п</w:t>
      </w:r>
      <w:r>
        <w:rPr>
          <w:rFonts w:eastAsia="Calibri"/>
          <w:sz w:val="28"/>
          <w:szCs w:val="28"/>
        </w:rPr>
        <w:t xml:space="preserve">ротекает река Пьяна, мно</w:t>
      </w:r>
      <w:r>
        <w:rPr>
          <w:rFonts w:eastAsia="Calibri"/>
          <w:sz w:val="28"/>
          <w:szCs w:val="28"/>
        </w:rPr>
        <w:t xml:space="preserve">жество</w:t>
      </w:r>
      <w:r>
        <w:rPr>
          <w:rFonts w:eastAsia="Calibri"/>
          <w:sz w:val="28"/>
          <w:szCs w:val="28"/>
        </w:rPr>
        <w:t xml:space="preserve"> озер. Два природных заказника, ряд памятников природы.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Структура материального производства по итогам 2025</w:t>
      </w:r>
      <w:r>
        <w:rPr>
          <w:sz w:val="28"/>
          <w:szCs w:val="28"/>
        </w:rPr>
        <w:t xml:space="preserve"> года: сельское хозяйство – 69,5</w:t>
      </w:r>
      <w:r>
        <w:rPr>
          <w:sz w:val="28"/>
          <w:szCs w:val="28"/>
        </w:rPr>
        <w:t xml:space="preserve">%; обрабатывающие производства – </w:t>
      </w:r>
      <w:r>
        <w:rPr>
          <w:sz w:val="28"/>
          <w:szCs w:val="28"/>
        </w:rPr>
        <w:t xml:space="preserve">17,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%; </w:t>
      </w:r>
      <w:r>
        <w:rPr>
          <w:sz w:val="28"/>
          <w:szCs w:val="28"/>
        </w:rPr>
        <w:t xml:space="preserve">обеспечение электрической энергией, газом и паром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кондиционирование воздуха – 1,4</w:t>
      </w:r>
      <w:r>
        <w:rPr>
          <w:sz w:val="28"/>
          <w:szCs w:val="28"/>
        </w:rPr>
        <w:t xml:space="preserve">%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водоснабжение - 1,4</w:t>
      </w:r>
      <w:r>
        <w:rPr>
          <w:sz w:val="28"/>
          <w:szCs w:val="28"/>
        </w:rPr>
        <w:t xml:space="preserve">%;</w:t>
      </w:r>
      <w:r>
        <w:rPr>
          <w:sz w:val="28"/>
          <w:szCs w:val="28"/>
        </w:rPr>
        <w:t xml:space="preserve"> строительство – </w:t>
      </w:r>
      <w:r>
        <w:rPr>
          <w:sz w:val="28"/>
          <w:szCs w:val="28"/>
        </w:rPr>
        <w:t xml:space="preserve">6,3</w:t>
      </w:r>
      <w:r>
        <w:rPr>
          <w:sz w:val="28"/>
          <w:szCs w:val="28"/>
        </w:rPr>
        <w:t xml:space="preserve">%; торговля –  </w:t>
      </w:r>
      <w:r>
        <w:rPr>
          <w:sz w:val="28"/>
          <w:szCs w:val="28"/>
        </w:rPr>
        <w:t xml:space="preserve">1,0</w:t>
      </w:r>
      <w:r>
        <w:rPr>
          <w:sz w:val="28"/>
          <w:szCs w:val="28"/>
        </w:rPr>
        <w:t xml:space="preserve">%; транспорт и связь – 0,1</w:t>
      </w:r>
      <w:r>
        <w:rPr>
          <w:sz w:val="28"/>
          <w:szCs w:val="28"/>
        </w:rPr>
        <w:t xml:space="preserve">%; прочие – 3,2</w:t>
      </w:r>
      <w:r>
        <w:rPr>
          <w:sz w:val="28"/>
          <w:szCs w:val="28"/>
        </w:rPr>
        <w:t xml:space="preserve">% 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 xml:space="preserve">Бутурлинский муниципальный округ по итогам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в рейтинге по  социально-экономическому развитию районов Нижегородской области занимает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место из 5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в зоне </w:t>
      </w:r>
      <w:r>
        <w:rPr>
          <w:bCs/>
          <w:sz w:val="28"/>
          <w:szCs w:val="28"/>
        </w:rPr>
        <w:t xml:space="preserve">муниципальных образований с численностью населения от 12 до 1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тыс. человек – </w:t>
      </w: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 место из 11</w:t>
      </w:r>
      <w:r>
        <w:rPr>
          <w:bCs/>
          <w:sz w:val="28"/>
          <w:szCs w:val="28"/>
        </w:rPr>
        <w:t xml:space="preserve"> районов.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 стабильно находится в зоне со средним уровнем развития.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итогам 2025 </w:t>
      </w:r>
      <w:r>
        <w:rPr>
          <w:sz w:val="28"/>
          <w:szCs w:val="28"/>
        </w:rPr>
        <w:t xml:space="preserve">года: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Средняя заработная плата составила </w:t>
      </w:r>
      <w:r>
        <w:rPr>
          <w:sz w:val="28"/>
          <w:szCs w:val="28"/>
        </w:rPr>
        <w:t xml:space="preserve">53948,15</w:t>
      </w:r>
      <w:r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 xml:space="preserve">113,12</w:t>
      </w:r>
      <w:r>
        <w:rPr>
          <w:sz w:val="28"/>
          <w:szCs w:val="28"/>
        </w:rPr>
        <w:t xml:space="preserve">% к уровню прошлого года).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Общий объем отгрузки составил </w:t>
      </w:r>
      <w:r>
        <w:rPr>
          <w:sz w:val="28"/>
          <w:szCs w:val="28"/>
        </w:rPr>
        <w:t xml:space="preserve">4850,1</w:t>
      </w:r>
      <w:r>
        <w:rPr>
          <w:color w:val="000000"/>
          <w:sz w:val="28"/>
          <w:szCs w:val="28"/>
        </w:rPr>
        <w:t xml:space="preserve"> млн.рублей (</w:t>
      </w:r>
      <w:r>
        <w:rPr>
          <w:spacing w:val="1"/>
          <w:sz w:val="28"/>
          <w:szCs w:val="28"/>
        </w:rPr>
        <w:t xml:space="preserve">106</w:t>
      </w:r>
      <w:r>
        <w:rPr>
          <w:spacing w:val="1"/>
          <w:sz w:val="28"/>
          <w:szCs w:val="28"/>
        </w:rPr>
        <w:t xml:space="preserve">%</w:t>
      </w:r>
      <w:r>
        <w:rPr>
          <w:color w:val="000000"/>
          <w:sz w:val="28"/>
          <w:szCs w:val="28"/>
        </w:rPr>
        <w:t xml:space="preserve"> к 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году).</w:t>
      </w:r>
      <w:r>
        <w:rPr>
          <w:sz w:val="28"/>
          <w:szCs w:val="28"/>
        </w:rPr>
        <w:t xml:space="preserve"> </w:t>
        <w:tab/>
        <w:t xml:space="preserve">Объем инвестиций </w:t>
      </w:r>
      <w:r>
        <w:rPr>
          <w:sz w:val="28"/>
          <w:szCs w:val="28"/>
        </w:rPr>
        <w:t xml:space="preserve">1293,1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млн.рублей (</w:t>
      </w:r>
      <w:r>
        <w:rPr>
          <w:sz w:val="28"/>
          <w:szCs w:val="28"/>
        </w:rPr>
        <w:t xml:space="preserve">90</w:t>
      </w:r>
      <w:r>
        <w:rPr>
          <w:sz w:val="28"/>
          <w:szCs w:val="28"/>
        </w:rPr>
        <w:t xml:space="preserve">% к уровню прошлого года).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jc w:val="both"/>
        <w:spacing w:before="8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. Экономическое развитие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3"/>
        <w:jc w:val="both"/>
        <w:spacing w:before="8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Развитие малого и среднего предпринимательства.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состоянию на </w:t>
      </w:r>
      <w:r>
        <w:rPr>
          <w:sz w:val="28"/>
          <w:szCs w:val="28"/>
        </w:rPr>
        <w:t xml:space="preserve">конец 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округе</w:t>
      </w:r>
      <w:r>
        <w:rPr>
          <w:sz w:val="28"/>
          <w:szCs w:val="28"/>
        </w:rPr>
        <w:t xml:space="preserve"> зарегистрировано </w:t>
      </w:r>
      <w:r>
        <w:rPr>
          <w:sz w:val="28"/>
          <w:szCs w:val="28"/>
        </w:rPr>
        <w:t xml:space="preserve">260</w:t>
      </w:r>
      <w:r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>
        <w:rPr>
          <w:sz w:val="28"/>
          <w:szCs w:val="28"/>
        </w:rPr>
        <w:t xml:space="preserve">предпринимательства, в т.ч. </w:t>
      </w:r>
      <w:r>
        <w:rPr>
          <w:sz w:val="28"/>
          <w:szCs w:val="28"/>
        </w:rPr>
        <w:t xml:space="preserve">58</w:t>
      </w:r>
      <w:r>
        <w:rPr>
          <w:sz w:val="28"/>
          <w:szCs w:val="28"/>
        </w:rPr>
        <w:t xml:space="preserve"> малых</w:t>
      </w:r>
      <w:r>
        <w:rPr>
          <w:sz w:val="28"/>
          <w:szCs w:val="28"/>
        </w:rPr>
        <w:t xml:space="preserve"> и средних </w:t>
      </w:r>
      <w:r>
        <w:rPr>
          <w:sz w:val="28"/>
          <w:szCs w:val="28"/>
        </w:rPr>
        <w:t xml:space="preserve">предприяти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213</w:t>
      </w:r>
      <w:r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без образования юридического лица, 909</w:t>
      </w:r>
      <w:r>
        <w:rPr>
          <w:sz w:val="28"/>
          <w:szCs w:val="28"/>
        </w:rPr>
        <w:t xml:space="preserve"> самозанятых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9"/>
        <w:jc w:val="both"/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Основные виды</w:t>
      </w:r>
      <w:r>
        <w:rPr>
          <w:sz w:val="28"/>
          <w:szCs w:val="28"/>
        </w:rPr>
        <w:t xml:space="preserve"> деятельности предприятий: </w:t>
      </w:r>
      <w:r>
        <w:rPr>
          <w:sz w:val="28"/>
          <w:szCs w:val="28"/>
        </w:rPr>
        <w:t xml:space="preserve">сельскохозяйственная, </w:t>
      </w:r>
      <w:r>
        <w:rPr>
          <w:sz w:val="28"/>
          <w:szCs w:val="28"/>
        </w:rPr>
        <w:t xml:space="preserve">торгово-закупочная, </w:t>
      </w:r>
      <w:r>
        <w:rPr>
          <w:sz w:val="28"/>
          <w:szCs w:val="28"/>
        </w:rPr>
        <w:t xml:space="preserve">оказание </w:t>
      </w:r>
      <w:r>
        <w:rPr>
          <w:sz w:val="28"/>
          <w:szCs w:val="28"/>
        </w:rPr>
        <w:t xml:space="preserve">услуг. Доля малого предпринимательства в общем объёме отгруженных товаров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 xml:space="preserve">более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77</w:t>
      </w:r>
      <w:r>
        <w:rPr>
          <w:sz w:val="28"/>
          <w:szCs w:val="28"/>
        </w:rPr>
        <w:t xml:space="preserve">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Создание благоприятного инвестиционного климата </w:t>
      </w:r>
      <w:r>
        <w:rPr>
          <w:sz w:val="28"/>
          <w:szCs w:val="28"/>
        </w:rPr>
        <w:t xml:space="preserve">для привлечения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территорию муниципалитета инвесторов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поддержка инвестиционной деятельности.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9"/>
        <w:jc w:val="both"/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продолжена работа по оказанию консультационной и финансовой поддержки предпринимателям округа. Администрацией округа совместно с Центром развития предпринимательства оказано </w:t>
      </w:r>
      <w:r>
        <w:rPr>
          <w:sz w:val="28"/>
          <w:szCs w:val="28"/>
        </w:rPr>
        <w:t xml:space="preserve">609 </w:t>
      </w:r>
      <w:r>
        <w:rPr>
          <w:sz w:val="28"/>
          <w:szCs w:val="28"/>
        </w:rPr>
        <w:t xml:space="preserve">консультаций.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9"/>
        <w:jc w:val="both"/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 xml:space="preserve">практически все сельхозпредприятия Бутурлинского округа являются участниками программ государственн</w:t>
      </w:r>
      <w:r>
        <w:rPr>
          <w:sz w:val="28"/>
          <w:szCs w:val="28"/>
        </w:rPr>
        <w:t xml:space="preserve">ой поддержки. В 2025 году предприятиями АПК получено государственной поддержки из федерального и областного бюджетов на сумму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млн. рублей. Наибольший удельный вес в структуре финансирования занимают субсидии на возмещение части затрат на поддержку пр</w:t>
      </w:r>
      <w:r>
        <w:rPr>
          <w:sz w:val="28"/>
          <w:szCs w:val="28"/>
        </w:rPr>
        <w:t xml:space="preserve">оизводства молока –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млн. рублей (2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%), на возмещение части прямых понесенных затрат на строительство животноводческих объектов –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,5 %), на возмещение части затрат на приобретение оборудования и техники –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%).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9"/>
        <w:jc w:val="both"/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рамках социального контракта через Управление социальной защиты населения Бутурлинского</w:t>
      </w:r>
      <w:r>
        <w:rPr>
          <w:sz w:val="28"/>
          <w:szCs w:val="28"/>
        </w:rPr>
        <w:t xml:space="preserve"> муниципального о</w:t>
      </w:r>
      <w:r>
        <w:rPr>
          <w:sz w:val="28"/>
          <w:szCs w:val="28"/>
        </w:rPr>
        <w:t xml:space="preserve">круга</w:t>
      </w:r>
      <w:r>
        <w:rPr>
          <w:sz w:val="28"/>
          <w:szCs w:val="28"/>
        </w:rPr>
        <w:t xml:space="preserve"> заключено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контрактов с индивидуальными предпринимателями и самозанятыми на сумму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млн.рублей. Полученные средства были направлены на приобретение основных средств для открытия своего 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9"/>
        <w:jc w:val="both"/>
        <w:spacing w:after="120" w:line="360" w:lineRule="auto"/>
        <w:rPr>
          <w:color w:val="050624"/>
          <w:sz w:val="28"/>
          <w:szCs w:val="28"/>
        </w:rPr>
      </w:pPr>
      <w:r>
        <w:rPr>
          <w:sz w:val="28"/>
          <w:szCs w:val="28"/>
        </w:rPr>
        <w:t xml:space="preserve">С целью улучшения инвестиционной привлекательности округа 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актуализированы данные</w:t>
      </w:r>
      <w:r>
        <w:rPr>
          <w:b/>
          <w:bCs/>
          <w:color w:val="05062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Инвестиционн</w:t>
      </w:r>
      <w:r>
        <w:rPr>
          <w:color w:val="000000" w:themeColor="text1"/>
          <w:sz w:val="28"/>
          <w:szCs w:val="28"/>
        </w:rPr>
        <w:t xml:space="preserve">ого</w:t>
      </w:r>
      <w:r>
        <w:rPr>
          <w:color w:val="000000" w:themeColor="text1"/>
          <w:sz w:val="28"/>
          <w:szCs w:val="28"/>
        </w:rPr>
        <w:t xml:space="preserve"> профил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 Бутурлинского муниципального округа</w:t>
      </w:r>
      <w:r>
        <w:rPr>
          <w:color w:val="000000" w:themeColor="text1"/>
          <w:sz w:val="28"/>
          <w:szCs w:val="28"/>
        </w:rPr>
        <w:t xml:space="preserve"> Нижегородской области, в котором отражены наиболее приоритетные направления р</w:t>
      </w:r>
      <w:r>
        <w:rPr>
          <w:color w:val="050624"/>
          <w:sz w:val="28"/>
          <w:szCs w:val="28"/>
        </w:rPr>
        <w:t xml:space="preserve">азвития и отмечены сильные стороны муниципального образования.</w:t>
      </w:r>
      <w:r>
        <w:rPr>
          <w:color w:val="050624"/>
          <w:sz w:val="28"/>
          <w:szCs w:val="28"/>
        </w:rPr>
      </w:r>
      <w:r>
        <w:rPr>
          <w:color w:val="050624"/>
          <w:sz w:val="28"/>
          <w:szCs w:val="28"/>
        </w:rPr>
      </w:r>
    </w:p>
    <w:p>
      <w:pPr>
        <w:pStyle w:val="895"/>
        <w:ind w:firstLine="709"/>
        <w:jc w:val="both"/>
        <w:spacing w:after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округ отмечен Почетной грамотой министерства промышленности, торговли и предпринимательства Нижегородской области за </w:t>
      </w:r>
      <w:r>
        <w:rPr>
          <w:sz w:val="28"/>
          <w:szCs w:val="28"/>
        </w:rPr>
        <w:t xml:space="preserve">3 место в группе Б </w:t>
      </w:r>
      <w:r>
        <w:rPr>
          <w:sz w:val="28"/>
          <w:szCs w:val="28"/>
        </w:rPr>
        <w:t xml:space="preserve">в рейтинге </w:t>
      </w:r>
      <w:r>
        <w:rPr>
          <w:sz w:val="28"/>
          <w:szCs w:val="28"/>
        </w:rPr>
        <w:t xml:space="preserve">по развитию предпринимательства и улучшению инвестиционного климата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jc w:val="both"/>
        <w:spacing w:before="8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Развитие налоговой базы по земельному налогу.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В 2025</w:t>
      </w:r>
      <w:r>
        <w:rPr>
          <w:sz w:val="28"/>
          <w:szCs w:val="28"/>
        </w:rPr>
        <w:t xml:space="preserve"> году продолжена работа в целях признании права муниципальной собственности  Бутурлинского муниципального округа Нижегородской области на невостребованные доли в границах бывших хозяйств, так 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в муниципальную собственность Бутурлинского муниципального округа Нижегородской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sz w:val="28"/>
          <w:szCs w:val="28"/>
        </w:rPr>
        <w:t xml:space="preserve">право муниципальной собственности на </w:t>
      </w:r>
      <w:r>
        <w:rPr>
          <w:rFonts w:ascii="Times New Roman" w:hAnsi="Times New Roman" w:cs="Times New Roman"/>
          <w:sz w:val="28"/>
          <w:szCs w:val="28"/>
        </w:rPr>
        <w:t xml:space="preserve">123 </w:t>
      </w:r>
      <w:r>
        <w:rPr>
          <w:rFonts w:ascii="Times New Roman" w:hAnsi="Times New Roman" w:cs="Times New Roman"/>
          <w:sz w:val="28"/>
          <w:szCs w:val="28"/>
        </w:rPr>
        <w:t xml:space="preserve">земельные доли в границах </w:t>
      </w:r>
      <w:r>
        <w:rPr>
          <w:rFonts w:ascii="Times New Roman" w:hAnsi="Times New Roman" w:cs="Times New Roman"/>
          <w:sz w:val="28"/>
          <w:szCs w:val="28"/>
        </w:rPr>
        <w:t xml:space="preserve">бывшего </w:t>
      </w:r>
      <w:r>
        <w:rPr>
          <w:rFonts w:ascii="Times New Roman" w:hAnsi="Times New Roman" w:cs="Times New Roman"/>
          <w:sz w:val="28"/>
          <w:szCs w:val="28"/>
        </w:rPr>
        <w:t xml:space="preserve">СПК «</w:t>
      </w:r>
      <w:r>
        <w:rPr>
          <w:rFonts w:ascii="Times New Roman" w:hAnsi="Times New Roman" w:cs="Times New Roman"/>
          <w:sz w:val="28"/>
          <w:szCs w:val="28"/>
        </w:rPr>
        <w:t xml:space="preserve">Инкинский</w:t>
      </w:r>
      <w:r>
        <w:rPr>
          <w:rFonts w:ascii="Times New Roman" w:hAnsi="Times New Roman" w:cs="Times New Roman"/>
          <w:sz w:val="28"/>
          <w:szCs w:val="28"/>
        </w:rPr>
        <w:t xml:space="preserve"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ООО «Бутурлинское зерно» </w:t>
      </w:r>
      <w:r>
        <w:rPr>
          <w:rFonts w:ascii="Times New Roman" w:hAnsi="Times New Roman" w:cs="Times New Roman"/>
          <w:sz w:val="28"/>
          <w:szCs w:val="28"/>
        </w:rPr>
        <w:t xml:space="preserve">выкупила эти доли по установленной цене 15% от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зарегистрировано право муниципальной собственности на 72 земельные доли в границах СПК «</w:t>
      </w:r>
      <w:r>
        <w:rPr>
          <w:rFonts w:ascii="Times New Roman" w:hAnsi="Times New Roman" w:cs="Times New Roman"/>
          <w:sz w:val="28"/>
          <w:szCs w:val="28"/>
        </w:rPr>
        <w:t xml:space="preserve">Пергалейский</w:t>
      </w:r>
      <w:r>
        <w:rPr>
          <w:rFonts w:ascii="Times New Roman" w:hAnsi="Times New Roman" w:cs="Times New Roman"/>
          <w:sz w:val="28"/>
          <w:szCs w:val="28"/>
        </w:rPr>
        <w:t xml:space="preserve">», сельскохозяйственная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АО «</w:t>
      </w:r>
      <w:r>
        <w:rPr>
          <w:rFonts w:ascii="Times New Roman" w:hAnsi="Times New Roman" w:cs="Times New Roman"/>
          <w:sz w:val="28"/>
          <w:szCs w:val="28"/>
        </w:rPr>
        <w:t xml:space="preserve">Пергалейское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выкупил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эти доли по установленной цене 15% от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ранее невостребованных долей, проданных в собственность -  2047,5 га.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Сельхозпроизводители продолжают </w:t>
      </w:r>
      <w:r>
        <w:rPr>
          <w:rFonts w:ascii="Times New Roman" w:hAnsi="Times New Roman" w:cs="Times New Roman"/>
          <w:sz w:val="28"/>
          <w:szCs w:val="28"/>
        </w:rPr>
        <w:t xml:space="preserve">выкупать арендуемые</w:t>
      </w:r>
      <w:r>
        <w:rPr>
          <w:rFonts w:ascii="Times New Roman" w:hAnsi="Times New Roman" w:cs="Times New Roman"/>
          <w:sz w:val="28"/>
          <w:szCs w:val="28"/>
        </w:rPr>
        <w:t xml:space="preserve"> земельные участки</w:t>
      </w:r>
      <w:r>
        <w:rPr>
          <w:rFonts w:ascii="Times New Roman" w:hAnsi="Times New Roman" w:cs="Times New Roman"/>
          <w:sz w:val="28"/>
          <w:szCs w:val="28"/>
        </w:rPr>
        <w:t xml:space="preserve">, ранее относившиеся к невостребованным земельным долям,</w:t>
      </w:r>
      <w:r>
        <w:rPr>
          <w:rFonts w:ascii="Times New Roman" w:hAnsi="Times New Roman" w:cs="Times New Roman"/>
          <w:sz w:val="28"/>
          <w:szCs w:val="28"/>
        </w:rPr>
        <w:t xml:space="preserve"> после истечения 3 лет надлежащего использования в соответствии с установленным видом разрешенного использования. Так в 2025 </w:t>
      </w:r>
      <w:r>
        <w:rPr>
          <w:rFonts w:ascii="Times New Roman" w:hAnsi="Times New Roman" w:cs="Times New Roman"/>
          <w:sz w:val="28"/>
          <w:szCs w:val="28"/>
        </w:rPr>
        <w:t xml:space="preserve"> году – ООО «Восход»  выкупили </w:t>
      </w:r>
      <w:r>
        <w:rPr>
          <w:rFonts w:ascii="Times New Roman" w:hAnsi="Times New Roman" w:cs="Times New Roman"/>
          <w:sz w:val="28"/>
          <w:szCs w:val="28"/>
        </w:rPr>
        <w:t xml:space="preserve">арендуемые</w:t>
      </w:r>
      <w:r>
        <w:rPr>
          <w:rFonts w:ascii="Times New Roman" w:hAnsi="Times New Roman" w:cs="Times New Roman"/>
          <w:sz w:val="28"/>
          <w:szCs w:val="28"/>
        </w:rPr>
        <w:t xml:space="preserve"> земельные участки на площади </w:t>
      </w:r>
      <w:r>
        <w:rPr>
          <w:rFonts w:ascii="Times New Roman" w:hAnsi="Times New Roman" w:cs="Times New Roman"/>
          <w:sz w:val="28"/>
          <w:szCs w:val="28"/>
        </w:rPr>
        <w:t xml:space="preserve">418, 7 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Общая площадь земельных участков и земельных долей, проданных в собственность граждан и юридических лиц в 2025 году, составила 2466,2 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jc w:val="both"/>
        <w:spacing w:before="8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Повышение эффективности сельского хозяйства.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Агропромышленный комплекс округа представ</w:t>
      </w:r>
      <w:r>
        <w:rPr>
          <w:sz w:val="28"/>
          <w:szCs w:val="28"/>
        </w:rPr>
        <w:t xml:space="preserve">ляю</w:t>
      </w:r>
      <w:r>
        <w:rPr>
          <w:sz w:val="28"/>
          <w:szCs w:val="28"/>
        </w:rPr>
        <w:t xml:space="preserve">т 14 сельхозпредприятий, 6 крестьянско – фермерских хозяйства. В сельскохозяйственном производстве занято 25 % от общего числа занятых в экономике. Среднемесячная зарплата в 2025 году повысилась по сравнению с 2024 годом на 23 % и составила 69133,00 рубля.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Производство молока в 2025 </w:t>
      </w:r>
      <w:r>
        <w:rPr>
          <w:sz w:val="28"/>
          <w:szCs w:val="28"/>
        </w:rPr>
        <w:t xml:space="preserve">году составило 49,3 тыс. тонн, плюс к уровню 2024г 2,6тыс.тонн (5,6%).  Округ занимает 3-е место в области. Весомый вклад внесли хозяйства агрохолдинга ТНВ «Михеев и Компания», которые произвели более 30 тыс. тонн молока, что составляет 63% от общего объе</w:t>
      </w:r>
      <w:r>
        <w:rPr>
          <w:sz w:val="28"/>
          <w:szCs w:val="28"/>
        </w:rPr>
        <w:t xml:space="preserve">ма. Более 4,7 тыс. тонн надоили в АО «Пергалейское». Надой на корову в 2025 году составил 8574 кг, что на 173 кг больше уровня 2024 года. Самый высокий надой получили животноводы ООО «Бутурлинское зерно» - более 12816 кг.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 xml:space="preserve">31.12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г. общее поголовье крупного рогатого скота в сельскохозяйственных предприятиях составило 12245 голов (4-й результат по области), в том числе поголовье дойного стада - 5939 головы (3–й результат по области).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left="0"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2025 году сельскохозяйственными предприятиями произведено 2,65 тыс. тонн мяса. Большой вклад внесло ООО «Бутурлинский бекон», которое реализов</w:t>
      </w:r>
      <w:r>
        <w:rPr>
          <w:sz w:val="28"/>
          <w:szCs w:val="28"/>
        </w:rPr>
        <w:t xml:space="preserve">ал</w:t>
      </w:r>
      <w:r>
        <w:rPr>
          <w:sz w:val="28"/>
          <w:szCs w:val="28"/>
        </w:rPr>
        <w:t xml:space="preserve">о 1082 тонн свинины, что составляет 40,7% от общерайонного показателя. По производству мяса говядины лидерами остаются ООО «Бутурлинское зерно» - 405,2 т, ООО «Колос»-151,6т, АО «Базинское»-106,4т.  По данному показателю округ занимает 6-е место в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2025 году производство яйца в ООО «Бутурлинская птицефабрика»  составило 77,8 млн. штук при средней яйценоскости 300 яиц на 1 несушку в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сельхозпредприятиях округа продолжается работа над совершенствованием отрасли животноводства, которое заключается в строительстве </w:t>
      </w:r>
      <w:r>
        <w:rPr>
          <w:sz w:val="28"/>
          <w:szCs w:val="28"/>
        </w:rPr>
        <w:t xml:space="preserve">и модернизации животноводческих помещений, оборудования, селекционно-племенной работе, обновлению маточного поголовья за счет покупки высокопродуктивного скота, что обеспечивает дальнейшую перспективу для увеличения производства животноводческой продукции.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Завершено строительство 4-х телятников на 250 голов ремонтного молодняка в ТНВ «Михеев и Компания», телятника на 250 голов в ООО «</w:t>
      </w:r>
      <w:r>
        <w:rPr>
          <w:color w:val="000000" w:themeColor="text1"/>
          <w:sz w:val="28"/>
          <w:szCs w:val="28"/>
        </w:rPr>
        <w:t xml:space="preserve">Бутурлинское</w:t>
      </w:r>
      <w:r>
        <w:rPr>
          <w:color w:val="000000" w:themeColor="text1"/>
          <w:sz w:val="28"/>
          <w:szCs w:val="28"/>
        </w:rPr>
        <w:t xml:space="preserve"> зерно».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2025 году </w:t>
      </w:r>
      <w:r>
        <w:rPr>
          <w:sz w:val="28"/>
          <w:szCs w:val="28"/>
        </w:rPr>
        <w:t xml:space="preserve">завершены</w:t>
      </w:r>
      <w:r>
        <w:rPr>
          <w:sz w:val="28"/>
          <w:szCs w:val="28"/>
        </w:rPr>
        <w:t xml:space="preserve"> проектно-изыскательские работы на строительство молочно-товарной фермы на 1200 голов беспривязного содержания в ООО «</w:t>
      </w:r>
      <w:r>
        <w:rPr>
          <w:sz w:val="28"/>
          <w:szCs w:val="28"/>
        </w:rPr>
        <w:t xml:space="preserve">Бутурлинское</w:t>
      </w:r>
      <w:r>
        <w:rPr>
          <w:sz w:val="28"/>
          <w:szCs w:val="28"/>
        </w:rPr>
        <w:t xml:space="preserve"> зерно» в </w:t>
      </w:r>
      <w:r>
        <w:rPr>
          <w:sz w:val="28"/>
          <w:szCs w:val="28"/>
        </w:rPr>
        <w:t xml:space="preserve">с.Б.Бакалды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Получен градостроительный план земельного участка.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в веден в эксплуатацию цех для содержания птицы на 60 тыс. птице.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растениеводстве, несмотря на неблагоприятные погодные условия, аграрии получили 81,1 тыс. тонн зерна в весе после доработки (4,3% от </w:t>
      </w:r>
      <w:r>
        <w:rPr>
          <w:sz w:val="28"/>
          <w:szCs w:val="28"/>
        </w:rPr>
        <w:t xml:space="preserve">обл.показ</w:t>
      </w:r>
      <w:r>
        <w:rPr>
          <w:sz w:val="28"/>
          <w:szCs w:val="28"/>
        </w:rPr>
        <w:t xml:space="preserve">) при средней урожайности зерновых в весе после доработки 37,3 ц/га.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Лидерами по производству зерна являются ООО «Бутурлино Агро» - 32,2 </w:t>
      </w:r>
      <w:r>
        <w:rPr>
          <w:sz w:val="28"/>
          <w:szCs w:val="28"/>
        </w:rPr>
        <w:t xml:space="preserve">тыс.тонн</w:t>
      </w:r>
      <w:r>
        <w:rPr>
          <w:sz w:val="28"/>
          <w:szCs w:val="28"/>
        </w:rPr>
        <w:t xml:space="preserve"> при урожайности 40,3 ц/</w:t>
      </w:r>
      <w:r>
        <w:rPr>
          <w:sz w:val="28"/>
          <w:szCs w:val="28"/>
        </w:rPr>
        <w:t xml:space="preserve">га,  ТНВ</w:t>
      </w:r>
      <w:r>
        <w:rPr>
          <w:sz w:val="28"/>
          <w:szCs w:val="28"/>
        </w:rPr>
        <w:t xml:space="preserve"> «Михеев и Компания» - 9,6 тыс. тонн при урожайности 48,4 ц/га,  ООО «Колос» - 12,8 тыс. тонн при урожайности 34,4 ц/га.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В течение 2025</w:t>
      </w:r>
      <w:r>
        <w:rPr>
          <w:sz w:val="28"/>
          <w:szCs w:val="28"/>
        </w:rPr>
        <w:t xml:space="preserve"> года хозяйства приобрели современную  высокопроизводительную, энергосберегающую сельскохозяйственную технику на сумму более 300 млн.рублей. Это современные зерноуборочные и кормоуборочные комбайны, трактора, погрузчики, прицепное и навесное оборудование.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 xml:space="preserve">Для поддержки молодых специ</w:t>
      </w:r>
      <w:r>
        <w:rPr>
          <w:sz w:val="28"/>
          <w:szCs w:val="28"/>
        </w:rPr>
        <w:t xml:space="preserve">алистов и работников в течение 2025 года </w:t>
      </w:r>
      <w:r>
        <w:rPr>
          <w:sz w:val="28"/>
          <w:szCs w:val="28"/>
        </w:rPr>
        <w:t xml:space="preserve"> 8 молодых специалистов </w:t>
      </w:r>
      <w:r>
        <w:rPr>
          <w:sz w:val="28"/>
          <w:szCs w:val="28"/>
        </w:rPr>
        <w:t xml:space="preserve">оформили документы</w:t>
      </w:r>
      <w:r>
        <w:rPr>
          <w:sz w:val="28"/>
          <w:szCs w:val="28"/>
        </w:rPr>
        <w:t xml:space="preserve"> на получение единовременной вып</w:t>
      </w:r>
      <w:r>
        <w:rPr>
          <w:sz w:val="28"/>
          <w:szCs w:val="28"/>
        </w:rPr>
        <w:t xml:space="preserve">латы на цели улучшения жилищных условий в сумме 2 млн. рублей.  В срок до 1 декабря 2025 года приобрели жилье и получили выплату на возмещение затрат на жилье 7 молодых работников в возрасте до 35 лет из ООО «Бутурлино Агро», ТНВ «Михеев и Компания», ГКФХ </w:t>
      </w:r>
      <w:r>
        <w:rPr>
          <w:sz w:val="28"/>
          <w:szCs w:val="28"/>
        </w:rPr>
        <w:t xml:space="preserve">Ибоян</w:t>
      </w:r>
      <w:r>
        <w:rPr>
          <w:sz w:val="28"/>
          <w:szCs w:val="28"/>
        </w:rPr>
        <w:t xml:space="preserve"> Д.М., АО «</w:t>
      </w:r>
      <w:r>
        <w:rPr>
          <w:sz w:val="28"/>
          <w:szCs w:val="28"/>
        </w:rPr>
        <w:t xml:space="preserve">Пергалейское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3-м молодым специалистам, получившим среднее специальное образование и трудоустроенным в ТНВ «Михеев и Компания», АО «</w:t>
      </w:r>
      <w:r>
        <w:rPr>
          <w:sz w:val="28"/>
          <w:szCs w:val="28"/>
        </w:rPr>
        <w:t xml:space="preserve">Пергалейское</w:t>
      </w:r>
      <w:r>
        <w:rPr>
          <w:sz w:val="28"/>
          <w:szCs w:val="28"/>
        </w:rPr>
        <w:t xml:space="preserve">», назначены ежемесячные выплаты в сумме 6000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итогам 9 месяцев 2025 года Бутурлинский муниципальный округ награжден Почетным знаком Губернатора Нижегородской области «За достижения в развитии агропромышленного комплекса».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jc w:val="both"/>
        <w:spacing w:before="8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Развитие транспортной инфраструктуры.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5"/>
        <w:jc w:val="both"/>
        <w:spacing w:before="120" w:after="120" w:line="360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Общая протяженность автомобильных дорог Бутурлинского округа составляет 388 км: из них 248 км межмуниципального и регионального значени</w:t>
      </w:r>
      <w:r>
        <w:rPr>
          <w:sz w:val="28"/>
          <w:szCs w:val="28"/>
        </w:rPr>
        <w:t xml:space="preserve">я, находящихся на областном балансе, и 140 км дорог общего пользования местного значения, находящихся на балансе городского и сельских поселений. Дорогами с твердым покрытием (асфальтированные) соединены 41  из 54 населенных пунктов округа (94% населения).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before="120" w:after="120" w:line="360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219 км дорог межмуниципа</w:t>
      </w:r>
      <w:r>
        <w:rPr>
          <w:sz w:val="28"/>
          <w:szCs w:val="28"/>
        </w:rPr>
        <w:t xml:space="preserve">льного и регионального значения, </w:t>
      </w:r>
      <w:r>
        <w:rPr>
          <w:sz w:val="28"/>
          <w:szCs w:val="28"/>
        </w:rPr>
        <w:t xml:space="preserve">находящихся на областном балансе, обслуживает ПМК «Бутурлинская»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before="120" w:after="120" w:line="360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З</w:t>
      </w:r>
      <w:r>
        <w:rPr>
          <w:sz w:val="28"/>
          <w:szCs w:val="28"/>
        </w:rPr>
        <w:t xml:space="preserve">а счет средств дорожного фонда и бюджета Бутурлинского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отремонтировано </w:t>
      </w:r>
      <w:r>
        <w:rPr>
          <w:sz w:val="28"/>
          <w:szCs w:val="28"/>
        </w:rPr>
        <w:t xml:space="preserve">3,9</w:t>
      </w:r>
      <w:r>
        <w:rPr>
          <w:sz w:val="28"/>
          <w:szCs w:val="28"/>
        </w:rPr>
        <w:t xml:space="preserve"> км</w:t>
      </w:r>
      <w:r>
        <w:rPr>
          <w:sz w:val="28"/>
          <w:szCs w:val="28"/>
        </w:rPr>
        <w:t xml:space="preserve"> дорог местного значения в щебеночном и асфальтном исполнении на общую сумму 14,1 млн. рублей.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120" w:after="120" w:line="360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рамках государственной программы «Комплексное развитие сельских территорий» отремонтировано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участков </w:t>
      </w:r>
      <w:r>
        <w:rPr>
          <w:sz w:val="28"/>
          <w:szCs w:val="28"/>
        </w:rPr>
        <w:t xml:space="preserve">автомобильных дорог местного значения на сумму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599,9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</w:t>
      </w:r>
      <w:r>
        <w:rPr>
          <w:sz w:val="28"/>
          <w:szCs w:val="28"/>
        </w:rPr>
        <w:t xml:space="preserve">.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120" w:after="120" w:line="360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 государственной программе «Развитие транспортной системы Нижегородской области» произведен ремонт</w:t>
      </w:r>
      <w:r>
        <w:rPr>
          <w:sz w:val="28"/>
          <w:szCs w:val="28"/>
        </w:rPr>
        <w:t xml:space="preserve"> 3-х</w:t>
      </w:r>
      <w:r>
        <w:rPr>
          <w:sz w:val="28"/>
          <w:szCs w:val="28"/>
        </w:rPr>
        <w:t xml:space="preserve"> </w:t>
      </w:r>
      <w:r>
        <w:rPr>
          <w:rFonts w:eastAsiaTheme="minorEastAsia"/>
          <w:bCs/>
          <w:color w:val="000000" w:themeColor="text1"/>
          <w:sz w:val="28"/>
          <w:szCs w:val="28"/>
        </w:rPr>
        <w:t xml:space="preserve">участк</w:t>
      </w:r>
      <w:r>
        <w:rPr>
          <w:rFonts w:eastAsiaTheme="minorEastAsia"/>
          <w:bCs/>
          <w:color w:val="000000" w:themeColor="text1"/>
          <w:sz w:val="28"/>
          <w:szCs w:val="28"/>
        </w:rPr>
        <w:t xml:space="preserve">ов автомобильных дорог</w:t>
      </w:r>
      <w:r>
        <w:rPr>
          <w:rFonts w:eastAsiaTheme="minorEastAsia"/>
          <w:bCs/>
          <w:color w:val="404040" w:themeColor="text1" w:themeTint="BF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значения на сумму 6002, 1 </w:t>
      </w:r>
      <w:r>
        <w:rPr>
          <w:sz w:val="28"/>
          <w:szCs w:val="28"/>
        </w:rPr>
        <w:t xml:space="preserve">тыс</w:t>
      </w:r>
      <w:r>
        <w:rPr>
          <w:sz w:val="28"/>
          <w:szCs w:val="28"/>
        </w:rPr>
        <w:t xml:space="preserve">.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before="120" w:after="120" w:line="360" w:lineRule="auto"/>
        <w:tabs>
          <w:tab w:val="left" w:pos="851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В Бутурлинском округ</w:t>
      </w:r>
      <w:r>
        <w:rPr>
          <w:sz w:val="28"/>
          <w:szCs w:val="28"/>
        </w:rPr>
        <w:t xml:space="preserve">е 37 населенных пунктов из 54 связаны пассажирским сообщением с районным центром.  Услуги по  пассажирским перевозкам в Бутурлинском округе оказывает МУП «Бутурлинопассажиравтотранс», осуществляя движение пассажирского автотранспорта по 8 муниципальным и 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междугородним маршрутам. В 2025</w:t>
      </w:r>
      <w:r>
        <w:rPr>
          <w:sz w:val="28"/>
          <w:szCs w:val="28"/>
        </w:rPr>
        <w:t xml:space="preserve"> году автобусами МУП «Бутурлинопассажиравтотранс» выполнено 6314 рейса: 5730</w:t>
      </w:r>
      <w:r>
        <w:rPr>
          <w:sz w:val="28"/>
          <w:szCs w:val="28"/>
        </w:rPr>
        <w:t xml:space="preserve"> по муниципальным маршрутам и 426 </w:t>
      </w:r>
      <w:r>
        <w:rPr>
          <w:sz w:val="28"/>
          <w:szCs w:val="28"/>
        </w:rPr>
        <w:t xml:space="preserve">по междугородним маршрутам.  Перевезено 38,1</w:t>
      </w:r>
      <w:r>
        <w:rPr>
          <w:sz w:val="28"/>
          <w:szCs w:val="28"/>
        </w:rPr>
        <w:t xml:space="preserve"> тыс пассажиров.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3"/>
        <w:jc w:val="both"/>
        <w:spacing w:before="8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Уровень заработной платы, в том числе в муниципальных учреждениях.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Выполняя Указ Президента РФ от 07 мая 2012 года № 597 «О мероприятиях по реализации государственной социальной политики», ведется работа по повышению заработной платы работников социальной сферы.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Так за 202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 год среднемесячная заработная плата по отдельным категориям персонала в организациях социальной сферы составила: 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муниципальных общеобразовательных учреждений  – 52474,40</w:t>
      </w:r>
      <w:r>
        <w:rPr>
          <w:sz w:val="28"/>
          <w:szCs w:val="28"/>
          <w:highlight w:val="white"/>
        </w:rPr>
        <w:t xml:space="preserve"> руб. (</w:t>
      </w:r>
      <w:r>
        <w:rPr>
          <w:sz w:val="28"/>
          <w:szCs w:val="28"/>
          <w:highlight w:val="white"/>
        </w:rPr>
        <w:t xml:space="preserve">102,4</w:t>
      </w:r>
      <w:r>
        <w:rPr>
          <w:sz w:val="28"/>
          <w:szCs w:val="28"/>
          <w:highlight w:val="white"/>
        </w:rPr>
        <w:t xml:space="preserve">% к уровню</w:t>
      </w:r>
      <w:r>
        <w:rPr>
          <w:sz w:val="28"/>
          <w:szCs w:val="28"/>
          <w:highlight w:val="white"/>
        </w:rPr>
        <w:t xml:space="preserve"> 2024</w:t>
      </w:r>
      <w:r>
        <w:rPr>
          <w:sz w:val="28"/>
          <w:szCs w:val="28"/>
          <w:highlight w:val="white"/>
        </w:rPr>
        <w:t xml:space="preserve"> год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); 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муниципальных дошкольных образовательных учреждений  – </w:t>
      </w:r>
      <w:r>
        <w:rPr>
          <w:sz w:val="28"/>
          <w:szCs w:val="28"/>
          <w:highlight w:val="white"/>
        </w:rPr>
        <w:t xml:space="preserve">39794,00</w:t>
      </w:r>
      <w:r>
        <w:rPr>
          <w:sz w:val="28"/>
          <w:szCs w:val="28"/>
          <w:highlight w:val="white"/>
        </w:rPr>
        <w:t xml:space="preserve"> руб.</w:t>
      </w:r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107</w:t>
      </w:r>
      <w:r>
        <w:rPr>
          <w:sz w:val="28"/>
          <w:szCs w:val="28"/>
          <w:highlight w:val="white"/>
        </w:rPr>
        <w:t xml:space="preserve">% к уровню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год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); 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учителей муниципальных общеобразовательных организаций 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57987,00</w:t>
      </w:r>
      <w:r>
        <w:rPr>
          <w:sz w:val="28"/>
          <w:szCs w:val="28"/>
          <w:highlight w:val="white"/>
        </w:rPr>
        <w:t xml:space="preserve">руб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(2024</w:t>
      </w:r>
      <w:r>
        <w:rPr>
          <w:sz w:val="28"/>
          <w:szCs w:val="28"/>
          <w:highlight w:val="white"/>
        </w:rPr>
        <w:t xml:space="preserve"> год- </w:t>
      </w:r>
      <w:r>
        <w:rPr>
          <w:sz w:val="28"/>
          <w:szCs w:val="28"/>
          <w:highlight w:val="white"/>
        </w:rPr>
        <w:t xml:space="preserve">56890,40</w:t>
      </w:r>
      <w:r>
        <w:rPr>
          <w:sz w:val="28"/>
          <w:szCs w:val="28"/>
          <w:highlight w:val="white"/>
        </w:rPr>
        <w:t xml:space="preserve">), увеличение на </w:t>
      </w:r>
      <w:r>
        <w:rPr>
          <w:sz w:val="28"/>
          <w:szCs w:val="28"/>
          <w:highlight w:val="white"/>
        </w:rPr>
        <w:t xml:space="preserve">101,9</w:t>
      </w:r>
      <w:r>
        <w:rPr>
          <w:sz w:val="28"/>
          <w:szCs w:val="28"/>
          <w:highlight w:val="white"/>
        </w:rPr>
        <w:t xml:space="preserve">%. 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5"/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реднемесячная начисленная заработная плата работников  муниципальных учреждений культуры в</w:t>
      </w:r>
      <w:r>
        <w:rPr>
          <w:b/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 году произошло не значительное увеличение заработной платы работников культуры по отношению к уровню предыдущего года на </w:t>
      </w:r>
      <w:r>
        <w:rPr>
          <w:sz w:val="28"/>
          <w:szCs w:val="28"/>
          <w:highlight w:val="white"/>
        </w:rPr>
        <w:t xml:space="preserve">102,5</w:t>
      </w:r>
      <w:r>
        <w:rPr>
          <w:sz w:val="28"/>
          <w:szCs w:val="28"/>
          <w:highlight w:val="white"/>
        </w:rPr>
        <w:t xml:space="preserve"> % </w:t>
      </w:r>
      <w:r>
        <w:rPr>
          <w:sz w:val="28"/>
          <w:szCs w:val="28"/>
          <w:highlight w:val="white"/>
        </w:rPr>
        <w:t xml:space="preserve">и составил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59428,38</w:t>
      </w:r>
      <w:r>
        <w:rPr>
          <w:sz w:val="28"/>
          <w:szCs w:val="28"/>
          <w:highlight w:val="white"/>
        </w:rPr>
        <w:t xml:space="preserve">  руб.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95"/>
        <w:ind w:firstLine="567"/>
        <w:jc w:val="both"/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 отчетный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проведено 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очн</w:t>
      </w:r>
      <w:r>
        <w:rPr>
          <w:sz w:val="28"/>
          <w:szCs w:val="28"/>
        </w:rPr>
        <w:t xml:space="preserve">ое</w:t>
      </w:r>
      <w:r>
        <w:rPr>
          <w:sz w:val="28"/>
          <w:szCs w:val="28"/>
        </w:rPr>
        <w:t xml:space="preserve"> заседаний </w:t>
      </w:r>
      <w:r>
        <w:rPr>
          <w:sz w:val="28"/>
          <w:szCs w:val="28"/>
        </w:rPr>
        <w:t xml:space="preserve">межведомственной комиссии</w:t>
      </w:r>
      <w:r>
        <w:rPr>
          <w:sz w:val="28"/>
          <w:szCs w:val="28"/>
        </w:rPr>
        <w:t xml:space="preserve"> по вопросам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уровня заработной платы юридических лиц и </w:t>
      </w:r>
      <w:r>
        <w:rPr>
          <w:sz w:val="28"/>
          <w:szCs w:val="28"/>
        </w:rPr>
        <w:t xml:space="preserve">индивидуальных предпринимателей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Бутурлинского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, кроме того в течении года проводился </w:t>
      </w:r>
      <w:r>
        <w:rPr>
          <w:sz w:val="28"/>
          <w:szCs w:val="28"/>
        </w:rPr>
        <w:t xml:space="preserve">ежемесячный </w:t>
      </w:r>
      <w:r>
        <w:rPr>
          <w:sz w:val="28"/>
          <w:szCs w:val="28"/>
        </w:rPr>
        <w:t xml:space="preserve">мониторинг</w:t>
      </w:r>
      <w:r>
        <w:rPr>
          <w:sz w:val="28"/>
          <w:szCs w:val="28"/>
        </w:rPr>
        <w:t xml:space="preserve"> поступления налога на доходы физических лиц в бюджет Бутурлинского муниципального округа.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деятельности </w:t>
      </w:r>
      <w:r>
        <w:rPr>
          <w:sz w:val="28"/>
          <w:szCs w:val="28"/>
        </w:rPr>
        <w:t xml:space="preserve">МВК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малого бизнеса </w:t>
      </w:r>
      <w:r>
        <w:rPr>
          <w:sz w:val="28"/>
          <w:szCs w:val="28"/>
        </w:rPr>
        <w:t xml:space="preserve">привели уровень выплачиваемой заработной платы в соответствии с действующими нормами законодательства. </w:t>
      </w:r>
      <w:r>
        <w:rPr>
          <w:sz w:val="28"/>
          <w:szCs w:val="28"/>
        </w:rPr>
        <w:t xml:space="preserve">Ежеквартально в министерство финансов Нижегородской области направляется информация о ситуации с занятостью и оплатой труда.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95"/>
        <w:ind w:firstLine="709"/>
        <w:jc w:val="both"/>
        <w:spacing w:line="36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Работа по легализации трудовых отношений ведется совместно с прокуратурой района, в течение года информация по  субъектам для применения мер прокурорского реагирования не направлялась.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contextualSpacing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Ежеквартально осуществляется мониторинг Плана мероприятий, направленных на снижение неформальной занятости в </w:t>
      </w:r>
      <w:r>
        <w:rPr>
          <w:sz w:val="28"/>
          <w:szCs w:val="28"/>
        </w:rPr>
        <w:t xml:space="preserve">Бутурлинс</w:t>
      </w:r>
      <w:r>
        <w:rPr>
          <w:sz w:val="28"/>
          <w:szCs w:val="28"/>
        </w:rPr>
        <w:t xml:space="preserve">ком муниципальном округе и направляется в Управление по труду и занятости Нижегородской области. За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физических</w:t>
      </w:r>
      <w:r>
        <w:rPr>
          <w:sz w:val="28"/>
          <w:szCs w:val="28"/>
        </w:rPr>
        <w:t xml:space="preserve"> лиц, осуществляющих предпринимательскую деятельность без соответствующего оформления </w:t>
      </w:r>
      <w:r>
        <w:rPr>
          <w:sz w:val="28"/>
          <w:szCs w:val="28"/>
        </w:rPr>
        <w:t xml:space="preserve"> зарегистрировались в качестве индивидуальных предпринимателей и самозанятых.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рабочей группы по обеспечению своевременной и в полном размере выплаты заработной платы и снижению неформальной занятости в организациях с целью профилактики использования нелегальных трудовых отношений.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contextualSpacing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целях сохранения численности сотрудников на предприятиях сельскохозяйственной отрасли (ведущей отрасли округа) и сохранении конкурентной оплаты труда 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отмечен рост уровня заработной платы на малых предприятиях округа </w:t>
      </w:r>
      <w:r>
        <w:rPr>
          <w:sz w:val="28"/>
          <w:szCs w:val="28"/>
        </w:rPr>
        <w:t xml:space="preserve">на 123% к уровню</w:t>
      </w:r>
      <w:r>
        <w:rPr>
          <w:sz w:val="28"/>
          <w:szCs w:val="28"/>
        </w:rPr>
        <w:t xml:space="preserve"> 2024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. Дошкольное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line="360" w:lineRule="auto"/>
        <w:widowControl w:val="off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95"/>
        <w:ind w:firstLine="567"/>
        <w:jc w:val="both"/>
        <w:spacing w:line="36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Основную образовательную программу дошкольного образова</w:t>
      </w:r>
      <w:r>
        <w:rPr>
          <w:sz w:val="28"/>
          <w:szCs w:val="28"/>
        </w:rPr>
        <w:t xml:space="preserve">ния в соответствии с требованиями ФГОС реализовывали 17 объектов образования, в которых воспитывались 439 детей. В настоящее время в детских садах создана современная, вариативная, доступная и безопасная развивающая предметно – пространственная среда. </w:t>
      </w:r>
      <w:r>
        <w:rPr>
          <w:sz w:val="28"/>
          <w:szCs w:val="28"/>
          <w:highlight w:val="none"/>
        </w:rPr>
      </w:r>
    </w:p>
    <w:p>
      <w:pPr>
        <w:ind w:firstLine="567"/>
        <w:jc w:val="both"/>
        <w:spacing w:line="360" w:lineRule="auto"/>
        <w:widowControl w:val="off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О</w:t>
      </w:r>
      <w:r>
        <w:rPr>
          <w:spacing w:val="3"/>
          <w:sz w:val="28"/>
          <w:szCs w:val="28"/>
        </w:rPr>
        <w:t xml:space="preserve">беспечена 100 % доступность дошкольного образования по всем возрастным категориям. </w:t>
      </w:r>
      <w:r>
        <w:rPr>
          <w:sz w:val="28"/>
          <w:szCs w:val="28"/>
        </w:rPr>
        <w:t xml:space="preserve">Показатель охвата дошкольным образованием составляет 100%. К сожалению, наблюдается общая тенденция снижения численности воспитанников по причине миграции населения репродуктивного возраста в города.</w:t>
      </w:r>
      <w:r>
        <w:rPr>
          <w:sz w:val="28"/>
          <w:szCs w:val="28"/>
        </w:rPr>
      </w:r>
    </w:p>
    <w:p>
      <w:pPr>
        <w:ind w:firstLine="567"/>
        <w:jc w:val="both"/>
        <w:spacing w:line="360" w:lineRule="auto"/>
        <w:widowControl w:val="off"/>
      </w:pPr>
      <w:r>
        <w:rPr>
          <w:sz w:val="28"/>
          <w:szCs w:val="28"/>
        </w:rPr>
      </w:r>
      <w:r>
        <w:rPr>
          <w:sz w:val="28"/>
          <w:szCs w:val="28"/>
        </w:rPr>
        <w:t xml:space="preserve">В настоящее время в детских садах создана современная, содержательно-насыщенная, вариативная, доступная и безопасная развивающая предметно – пространственная среда. </w:t>
      </w:r>
      <w:r/>
    </w:p>
    <w:p>
      <w:pPr>
        <w:pStyle w:val="903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. Общ</w:t>
      </w:r>
      <w:r>
        <w:rPr>
          <w:rFonts w:ascii="Times New Roman" w:hAnsi="Times New Roman" w:cs="Times New Roman"/>
          <w:sz w:val="28"/>
          <w:szCs w:val="28"/>
        </w:rPr>
        <w:t xml:space="preserve">ее и дополнительное образование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jc w:val="both"/>
        <w:spacing w:before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5"/>
        <w:ind w:firstLine="708"/>
        <w:jc w:val="both"/>
        <w:spacing w:line="360" w:lineRule="auto"/>
        <w:rPr>
          <w:color w:val="00000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Сеть муниципальных  образовательных организаций представляет 5 школ, 1 филиал, 5 детских садов, 3 учреждения дополнительного образования и 12 структурных подразделений, реализующих основные образовательные программы дошкольного образования.</w:t>
      </w:r>
      <w:r>
        <w:rPr>
          <w:color w:val="000000"/>
        </w:rPr>
      </w:r>
      <w:r>
        <w:rPr>
          <w:color w:val="000000"/>
        </w:rPr>
      </w:r>
    </w:p>
    <w:p>
      <w:pPr>
        <w:ind w:firstLine="708"/>
        <w:jc w:val="both"/>
        <w:spacing w:line="360" w:lineRule="auto"/>
        <w:rPr>
          <w:b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6"/>
        </w:pBdr>
      </w:pPr>
      <w:r>
        <w:rPr>
          <w:color w:val="000000"/>
          <w:sz w:val="28"/>
          <w:szCs w:val="28"/>
        </w:rPr>
        <w:t xml:space="preserve">В 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 xml:space="preserve">в соответствии с Указом президента РФ стартовал национальный проект «Молодежь и дети»</w:t>
      </w:r>
      <w:r>
        <w:rPr>
          <w:color w:val="000000"/>
          <w:sz w:val="28"/>
          <w:szCs w:val="28"/>
        </w:rPr>
        <w:t xml:space="preserve">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6"/>
        </w:pBdr>
      </w:pPr>
      <w:r>
        <w:rPr>
          <w:sz w:val="28"/>
          <w:szCs w:val="28"/>
        </w:rPr>
        <w:t xml:space="preserve">В рамках федерального проекта «</w:t>
      </w:r>
      <w:r>
        <w:rPr>
          <w:sz w:val="28"/>
          <w:szCs w:val="28"/>
        </w:rPr>
        <w:t xml:space="preserve">Профессионалитет</w:t>
      </w:r>
      <w:r>
        <w:rPr>
          <w:sz w:val="28"/>
          <w:szCs w:val="28"/>
        </w:rPr>
        <w:t xml:space="preserve">» для обучающихся 6-11 классов реализуется Единая модель профессиональной ориентации – </w:t>
      </w:r>
      <w:r>
        <w:rPr>
          <w:sz w:val="28"/>
          <w:szCs w:val="28"/>
        </w:rPr>
        <w:t xml:space="preserve">профминимум</w:t>
      </w:r>
      <w:r>
        <w:rPr>
          <w:sz w:val="28"/>
          <w:szCs w:val="28"/>
        </w:rPr>
        <w:t xml:space="preserve">. С целью организации работы по подготовке обучающихся к профессиональному само</w:t>
      </w:r>
      <w:r>
        <w:rPr>
          <w:sz w:val="28"/>
          <w:szCs w:val="28"/>
        </w:rPr>
        <w:t xml:space="preserve">определению на</w:t>
      </w:r>
      <w:r>
        <w:rPr>
          <w:sz w:val="28"/>
          <w:szCs w:val="28"/>
        </w:rPr>
        <w:t xml:space="preserve"> базе 3 школ действуют профильные предпрофессиональные классы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8"/>
        <w:jc w:val="both"/>
        <w:spacing w:line="360" w:lineRule="auto"/>
        <w:rPr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6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В общеобразовательных </w:t>
      </w:r>
      <w:r>
        <w:rPr>
          <w:sz w:val="28"/>
          <w:szCs w:val="28"/>
        </w:rPr>
        <w:t xml:space="preserve">организациях округа</w:t>
      </w:r>
      <w:r>
        <w:rPr>
          <w:sz w:val="28"/>
          <w:szCs w:val="28"/>
        </w:rPr>
        <w:t xml:space="preserve"> реализуется федеральный проект «Патриотическое воспитание граждан Российской Федерации».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еализовано 48 федеральных кон</w:t>
      </w:r>
      <w:r>
        <w:rPr>
          <w:sz w:val="28"/>
          <w:szCs w:val="28"/>
        </w:rPr>
        <w:t xml:space="preserve">це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ций по Дням единых действий.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обучающиеся из 21 населенного пункта доставлялись в 5 школ округа. Протяженность маршрутов составляла от 4 км до 25 км. Количество  детей, охваченных организованным подвозом, составило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учащихся (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% от общего количества учащихся, 100% от  числа нуждающихся в подвозе). Для организованной перевозки детей использовались 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автобусов, которые оснащены всем необходимым оборудовнанием</w:t>
      </w:r>
      <w:r>
        <w:rPr>
          <w:sz w:val="28"/>
          <w:szCs w:val="28"/>
        </w:rPr>
        <w:t xml:space="preserve">. В 2025 году  школьный автопарк пополнился двумя новыми  автобусами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средств федерального  бюджета.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6"/>
        </w:rPr>
      </w:pPr>
      <w:r>
        <w:rPr>
          <w:sz w:val="28"/>
          <w:szCs w:val="28"/>
        </w:rPr>
        <w:t xml:space="preserve">Результативность деятельности муниципальной системы образования в прошедшем  учебном году  обеспечивали  189 педагогов. Доля педагогов, имеющих высшее профессиональное образование, составляет 92%, с высшей квалификационной категорией - 48,7%. </w:t>
      </w:r>
      <w:r>
        <w:rPr>
          <w:sz w:val="28"/>
          <w:szCs w:val="26"/>
        </w:rPr>
        <w:t xml:space="preserve">В рейтинге муниципалитетов по данному показателю наш округ в 2025 году сохраняет 1 место среди округов Нижегородской области .</w:t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pStyle w:val="895"/>
        <w:ind w:firstLine="567"/>
        <w:jc w:val="both"/>
        <w:spacing w:line="360" w:lineRule="auto"/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Основную образовательную программу дошкольного образования осуществляют 17 объектов образования, в которых  воспитывается 439 детей. </w:t>
      </w:r>
      <w:r/>
    </w:p>
    <w:p>
      <w:pPr>
        <w:pStyle w:val="895"/>
        <w:ind w:left="-180" w:firstLine="567"/>
        <w:jc w:val="both"/>
        <w:spacing w:line="360" w:lineRule="auto"/>
      </w:pPr>
      <w:r>
        <w:rPr>
          <w:spacing w:val="3"/>
          <w:sz w:val="28"/>
          <w:szCs w:val="28"/>
        </w:rPr>
        <w:t xml:space="preserve">Обеспечена 100 % доступность дошкольного образования по всем возрастным категориям. </w:t>
      </w:r>
      <w:r/>
    </w:p>
    <w:p>
      <w:pPr>
        <w:pStyle w:val="908"/>
        <w:ind w:firstLine="708"/>
        <w:jc w:val="both"/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 В прошедшем учебном году в школах  обучались 1140 учащихся.  </w:t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Государственная итоговая аттестация по образовательным программам основного общего образования проходила в форме основного государственного экзамена   (116 учащихся) и</w:t>
      </w:r>
      <w:r>
        <w:rPr>
          <w:color w:val="000000"/>
          <w:sz w:val="28"/>
          <w:szCs w:val="28"/>
        </w:rPr>
        <w:t xml:space="preserve"> государственного выпускного экзамена (4 ребенка). В основной период проведения государственной итоговой аттестации 115 (93,3%) выпускников 9 классов успешно сдали  экзамены и получили аттестаты  об основном общем образовании, из них 7 (7,5%) – с отличием.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9"/>
        <w:ind w:firstLine="720"/>
        <w:jc w:val="both"/>
        <w:spacing w:beforeAutospacing="0" w:afterAutospacing="0" w:line="360" w:lineRule="auto"/>
        <w:shd w:val="clear" w:color="auto" w:fill="ffffff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Государственная итоговая аттестация выпускников 11 классов проходила в форме ЕГЭ по 10 предметам. Все 29 выпускников  Бутурлинской школы получили аттестаты, из них -4 (13,8%) с отличием и медалями  "За особые успехи в учении " 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 степени (1 человек) и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степени (3 человека) (в 2023 г.-7 (23 %).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95"/>
        <w:ind w:firstLine="707"/>
        <w:jc w:val="both"/>
        <w:spacing w:line="360" w:lineRule="auto"/>
      </w:pPr>
      <w:r>
        <w:rPr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Максимальные  баллы</w:t>
      </w:r>
      <w:r>
        <w:rPr>
          <w:color w:val="000000" w:themeColor="text1"/>
          <w:sz w:val="28"/>
          <w:szCs w:val="28"/>
        </w:rPr>
        <w:t xml:space="preserve"> выпускников- </w:t>
      </w:r>
      <w:r>
        <w:rPr>
          <w:color w:val="000000" w:themeColor="text1"/>
          <w:sz w:val="28"/>
          <w:szCs w:val="28"/>
        </w:rPr>
        <w:t xml:space="preserve">91</w:t>
      </w:r>
      <w:r>
        <w:rPr>
          <w:color w:val="000000" w:themeColor="text1"/>
          <w:sz w:val="28"/>
          <w:szCs w:val="28"/>
        </w:rPr>
        <w:t xml:space="preserve"> балл по русскому языку, 91 балл по </w:t>
      </w:r>
      <w:r>
        <w:rPr>
          <w:color w:val="000000" w:themeColor="text1"/>
          <w:sz w:val="28"/>
          <w:szCs w:val="28"/>
        </w:rPr>
        <w:t xml:space="preserve">истории</w:t>
      </w:r>
      <w:r>
        <w:rPr>
          <w:color w:val="000000" w:themeColor="text1"/>
          <w:sz w:val="28"/>
          <w:szCs w:val="28"/>
        </w:rPr>
        <w:t xml:space="preserve">, 8</w:t>
      </w:r>
      <w:r>
        <w:rPr>
          <w:color w:val="000000" w:themeColor="text1"/>
          <w:sz w:val="28"/>
          <w:szCs w:val="28"/>
        </w:rPr>
        <w:t xml:space="preserve">4 балла</w:t>
      </w:r>
      <w:r>
        <w:rPr>
          <w:color w:val="000000" w:themeColor="text1"/>
          <w:sz w:val="28"/>
          <w:szCs w:val="28"/>
        </w:rPr>
        <w:t xml:space="preserve"> по </w:t>
      </w:r>
      <w:r>
        <w:rPr>
          <w:color w:val="000000" w:themeColor="text1"/>
          <w:sz w:val="28"/>
          <w:szCs w:val="28"/>
        </w:rPr>
        <w:t xml:space="preserve">английскому языку и физике,  81</w:t>
      </w:r>
      <w:r>
        <w:rPr>
          <w:color w:val="000000" w:themeColor="text1"/>
          <w:sz w:val="28"/>
          <w:szCs w:val="28"/>
        </w:rPr>
        <w:t xml:space="preserve"> балл по </w:t>
      </w:r>
      <w:r>
        <w:rPr>
          <w:color w:val="000000" w:themeColor="text1"/>
          <w:sz w:val="28"/>
          <w:szCs w:val="28"/>
        </w:rPr>
        <w:t xml:space="preserve">обществознанию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80 баллов по </w:t>
      </w:r>
      <w:r>
        <w:rPr>
          <w:sz w:val="28"/>
          <w:szCs w:val="28"/>
        </w:rPr>
        <w:t xml:space="preserve">математике.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contextualSpacing w:val="0"/>
        <w:ind w:firstLine="709"/>
        <w:jc w:val="both"/>
        <w:spacing w:line="360" w:lineRule="auto"/>
        <w:rPr>
          <w:b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6"/>
        </w:pBdr>
        <w:suppressLineNumbers w:val="0"/>
      </w:pPr>
      <w:r>
        <w:rPr>
          <w:color w:val="000000" w:themeColor="text1"/>
          <w:sz w:val="28"/>
          <w:szCs w:val="28"/>
        </w:rPr>
        <w:t xml:space="preserve">В рамках патриотического воспитания 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феврале</w:t>
      </w:r>
      <w:r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 года </w:t>
      </w:r>
      <w:r>
        <w:rPr>
          <w:color w:val="000000" w:themeColor="text1"/>
          <w:sz w:val="28"/>
          <w:szCs w:val="28"/>
        </w:rPr>
        <w:t xml:space="preserve">33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десятиклассник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Бутурлинской</w:t>
      </w:r>
      <w:r>
        <w:rPr>
          <w:color w:val="000000" w:themeColor="text1"/>
          <w:sz w:val="28"/>
          <w:szCs w:val="28"/>
        </w:rPr>
        <w:t xml:space="preserve"> СОШ приняли участие в региональном туристско-образовательном проекте «Уроки с путешествием» в </w:t>
      </w:r>
      <w:r>
        <w:rPr>
          <w:color w:val="000000" w:themeColor="text1"/>
          <w:sz w:val="28"/>
          <w:szCs w:val="28"/>
        </w:rPr>
        <w:t xml:space="preserve">г.Волгоград</w:t>
      </w:r>
      <w:r>
        <w:rPr>
          <w:color w:val="000000" w:themeColor="text1"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5"/>
        <w:contextualSpacing w:val="0"/>
        <w:ind w:firstLine="567"/>
        <w:jc w:val="both"/>
        <w:spacing w:line="36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 В рамках празднования </w:t>
      </w:r>
      <w:r>
        <w:rPr>
          <w:sz w:val="28"/>
          <w:szCs w:val="28"/>
        </w:rPr>
        <w:t xml:space="preserve">80</w:t>
      </w:r>
      <w:r>
        <w:rPr>
          <w:sz w:val="28"/>
          <w:szCs w:val="28"/>
        </w:rPr>
        <w:t xml:space="preserve">-й годовщины Победы были организованы и проведены более 500 мероприятий и акций патриотической </w:t>
      </w:r>
      <w:r>
        <w:rPr>
          <w:sz w:val="28"/>
          <w:szCs w:val="28"/>
        </w:rPr>
        <w:t xml:space="preserve">направленности..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line="360" w:lineRule="auto"/>
        <w:rPr>
          <w:b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6"/>
        </w:pBdr>
        <w:suppressLineNumbers w:val="0"/>
      </w:pPr>
      <w:r>
        <w:rPr>
          <w:rFonts w:eastAsia="Calibri"/>
          <w:sz w:val="28"/>
          <w:szCs w:val="28"/>
        </w:rPr>
        <w:t xml:space="preserve">В 2025 году коллектив муниципального отделения Нижегородского р</w:t>
      </w:r>
      <w:r>
        <w:rPr>
          <w:rFonts w:eastAsia="Calibri"/>
          <w:sz w:val="28"/>
          <w:szCs w:val="28"/>
        </w:rPr>
        <w:t xml:space="preserve">егионального отделения Всероссийского общественного движения «Волонтёры Победы» был отмечен Благодарственными письмами за значимый вклад в сохранение исторической памяти и активное участие в добровольческой деятельности на территории Нижегородской области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2025 год поисковое объединение «Сокол» организовало экспедицию на места боев 134 стрелковой дивизии в Бельский </w:t>
      </w:r>
      <w:r>
        <w:rPr>
          <w:sz w:val="28"/>
          <w:szCs w:val="28"/>
        </w:rPr>
        <w:t xml:space="preserve">район Тверской области. В экспедиции приняли участие 26 человек, из них 6 обучающихся школ округа. В ходе экспедиции были найдены останки 4 солдат и установлена судьба красноармейца из Арзамаса (останки солдата были захоронены в Выездном 8 мая 2025 года).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в июне 2025 была организована поисковая экспедиция на Карельский перешеек, в которой приняли участие 16 человек. За время работы </w:t>
      </w:r>
      <w:r>
        <w:rPr>
          <w:sz w:val="28"/>
          <w:szCs w:val="28"/>
        </w:rPr>
        <w:t xml:space="preserve">экспед</w:t>
      </w:r>
      <w:r>
        <w:rPr>
          <w:sz w:val="28"/>
          <w:szCs w:val="28"/>
        </w:rPr>
        <w:t xml:space="preserve">иции  был</w:t>
      </w:r>
      <w:r>
        <w:rPr>
          <w:sz w:val="28"/>
          <w:szCs w:val="28"/>
        </w:rPr>
        <w:t xml:space="preserve"> найден 1 красноармеец, а также были переданы списки 113 красноармейцев-горьковчан, найденных в неучтенном захоронении и числившихся как «место захоронения и гибели не известно».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567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Ведущая роль в реализации дополнительных общеобразовательных программ принадлежит  Бутурлинскому дому детского творчества и Спортивной  школе. В кружках  и секциях  данных учреждений занимались 987 обучающихся.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567"/>
        <w:jc w:val="both"/>
        <w:spacing w:line="360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МБУ ДО «Спортивная школа» </w:t>
      </w:r>
      <w:r>
        <w:rPr>
          <w:rFonts w:eastAsia="Calibri"/>
          <w:sz w:val="28"/>
          <w:szCs w:val="28"/>
        </w:rPr>
        <w:t xml:space="preserve">обучалось 409 ребят. </w:t>
      </w:r>
      <w:r>
        <w:rPr>
          <w:rFonts w:eastAsia="Calibri"/>
          <w:sz w:val="28"/>
          <w:szCs w:val="28"/>
        </w:rPr>
        <w:t xml:space="preserve">Дети  посещали 28 объединений (велоспорт-маунтинбайк, футбол, художественная  гимнастика, акробатика, лыжная подготовка, ОФП, волейбол, смешанные единоборства, ЮИД «Дорожный дозор»),  приняли участие в 116 соревнованиях  и завоевали 56 призовых мест.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95"/>
        <w:jc w:val="both"/>
        <w:spacing w:line="36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  <w:tab/>
      </w:r>
      <w:r>
        <w:rPr>
          <w:sz w:val="28"/>
          <w:szCs w:val="28"/>
        </w:rPr>
        <w:t xml:space="preserve">При проведении летней оздоровительной кампании в 2025 году   организованными формами отдыха  охвачено</w:t>
      </w:r>
      <w:r>
        <w:rPr>
          <w:sz w:val="28"/>
          <w:szCs w:val="28"/>
        </w:rPr>
        <w:t xml:space="preserve"> 89,7% детей. Из муниципального бюджета на оздоровительную кампанию выделено 2,7 млн. рублей. В летний период дети отдыхали в лагерях на базе школ, в загородном лагере «Надежда», направлялись на отдых и оздоровление в санаторно-оздоровительные лагеря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54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Дети  были  заняты в трудовых объединениях и походах, на дворовых площадках.  40 подросток временно трудоустроен в летний период через центр занятости населения.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sz w:val="28"/>
          <w:szCs w:val="28"/>
        </w:rPr>
        <w:t xml:space="preserve">. Культура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jc w:val="both"/>
        <w:spacing w:before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5"/>
        <w:ind w:firstLine="720"/>
        <w:jc w:val="both"/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sz w:val="28"/>
          <w:szCs w:val="28"/>
        </w:rPr>
        <w:t xml:space="preserve">Работа отдела культуры и туризма и подведомственных учреждений в 2025 году строилась в рамках реализации муниципальных программ по культуре и туризму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Сеть учреждений культуры включала в себя: централизованную </w:t>
      </w:r>
      <w:r>
        <w:rPr>
          <w:sz w:val="28"/>
          <w:szCs w:val="28"/>
        </w:rPr>
        <w:t xml:space="preserve">библиотечную систему, состоящую из центральной биб</w:t>
      </w:r>
      <w:r>
        <w:rPr>
          <w:sz w:val="28"/>
          <w:szCs w:val="28"/>
        </w:rPr>
        <w:t xml:space="preserve">лиотеки, отдела по работе с детьми и 15 сельских филиалов, районный Дворец культуры и 2 филиала в сельских поселениях, Центр досуга, ремесел и туризма и 12 отделов в сельских поселениях, историко-краеведческий музей и пять филиалов, Детская школа искусств.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культурно-досуговых учреждениях работали 208  формирований, участниками которых стали 2 295 человек разной возрастной категории.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Посещаемость  историко - краеведческого   музея составила 19,2 тысяч  человек. Число посещений учреждений централизованной библиотечной системы – 218,3 тысяч человек.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Культурно-досуговыми учреждениями проведено 4 254 мероприятие, участниками которых стали более 205953 тысяч человек.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Событиями в культурной жизни округа в минувшем году стали: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1. XVI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Бутурлинские</w:t>
      </w:r>
      <w:r>
        <w:rPr>
          <w:sz w:val="28"/>
          <w:szCs w:val="28"/>
        </w:rPr>
        <w:t xml:space="preserve"> чтения имени Героя Советского Союза, маршала артиллерии В.И. Казакова «80 лет Победы. Память и духовный опыт поколений» 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Неделя детской и юношеской книги - 2025 «Книга собирает друзей»;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851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Муниципальный конкурс «Звездный дождь»;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Межмуниципальный конкурс народного творчества «</w:t>
      </w:r>
      <w:r>
        <w:rPr>
          <w:sz w:val="28"/>
          <w:szCs w:val="28"/>
        </w:rPr>
        <w:t xml:space="preserve">Бутурлинские</w:t>
      </w:r>
      <w:r>
        <w:rPr>
          <w:sz w:val="28"/>
          <w:szCs w:val="28"/>
        </w:rPr>
        <w:t xml:space="preserve"> узоры» (впервые прошел при поддержке депутата законодательного собрания Нижегородской области </w:t>
      </w:r>
      <w:r>
        <w:rPr>
          <w:sz w:val="28"/>
          <w:szCs w:val="28"/>
        </w:rPr>
        <w:t xml:space="preserve">В.Н.Пакова</w:t>
      </w:r>
      <w:r>
        <w:rPr>
          <w:sz w:val="28"/>
          <w:szCs w:val="28"/>
        </w:rPr>
        <w:t xml:space="preserve">);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95"/>
        <w:ind w:firstLine="720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Коллективы и исполнители учреждений культуры Бутурлинского округа  в 2025 году стали победителями и призерами фестивалей, конкурсов, смотров, выставок различного уровня: от муниципального до Международного.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jc w:val="both"/>
        <w:spacing w:before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VI</w:t>
      </w:r>
      <w:r>
        <w:rPr>
          <w:rFonts w:ascii="Times New Roman" w:hAnsi="Times New Roman" w:cs="Times New Roman"/>
          <w:sz w:val="28"/>
          <w:szCs w:val="28"/>
        </w:rPr>
        <w:t xml:space="preserve">. Физическая культура и спорт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95"/>
        <w:ind w:firstLine="708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Физической культурой и спортом в</w:t>
      </w:r>
      <w:r>
        <w:rPr>
          <w:sz w:val="28"/>
          <w:szCs w:val="28"/>
        </w:rPr>
        <w:t xml:space="preserve"> округе занято 64,4 % населения. </w:t>
      </w:r>
      <w:r>
        <w:rPr>
          <w:bCs/>
          <w:sz w:val="28"/>
          <w:szCs w:val="28"/>
        </w:rPr>
        <w:t xml:space="preserve">В  спортивных секциях </w:t>
      </w:r>
      <w:r>
        <w:rPr>
          <w:bCs/>
          <w:sz w:val="28"/>
          <w:szCs w:val="28"/>
        </w:rPr>
        <w:t xml:space="preserve">образовательных учреждений занимаются 908 детей и подростков ( 92%).</w:t>
      </w:r>
      <w:r>
        <w:rPr>
          <w:sz w:val="28"/>
          <w:szCs w:val="28"/>
        </w:rPr>
        <w:t xml:space="preserve">  В 2025 году 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бутурлинцев выполнили нормативы  ВФСК  ГТО (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- на   золотой знак отличия,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- на серебряный,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- на бронзовый).</w:t>
      </w:r>
      <w:r>
        <w:rPr>
          <w:sz w:val="28"/>
          <w:szCs w:val="28"/>
          <w:highlight w:val="none"/>
        </w:rPr>
      </w:r>
    </w:p>
    <w:p>
      <w:pPr>
        <w:pStyle w:val="895"/>
        <w:ind w:firstLine="708"/>
        <w:jc w:val="both"/>
        <w:spacing w:line="360" w:lineRule="auto"/>
      </w:pPr>
      <w:r>
        <w:rPr>
          <w:bCs/>
          <w:sz w:val="28"/>
          <w:szCs w:val="28"/>
        </w:rPr>
        <w:t xml:space="preserve">Инфраструктуру для занятий физической культурой и спортом в </w:t>
      </w:r>
      <w:r>
        <w:rPr>
          <w:bCs/>
          <w:sz w:val="28"/>
          <w:szCs w:val="28"/>
        </w:rPr>
        <w:t xml:space="preserve">округе</w:t>
      </w:r>
      <w:r>
        <w:rPr>
          <w:bCs/>
          <w:sz w:val="28"/>
          <w:szCs w:val="28"/>
        </w:rPr>
        <w:t xml:space="preserve">  составляют стадион «Факел»,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9 спортивных залов  </w:t>
      </w:r>
      <w:r>
        <w:rPr>
          <w:sz w:val="28"/>
          <w:szCs w:val="28"/>
        </w:rPr>
        <w:t xml:space="preserve">школ</w:t>
      </w:r>
      <w:r>
        <w:rPr>
          <w:sz w:val="28"/>
          <w:szCs w:val="28"/>
        </w:rPr>
        <w:t xml:space="preserve">, 4 хоккейные коробки, 1 физкультурно- оздоровительный комплекс открытого типа (ФОКОТ).</w:t>
      </w:r>
      <w:r/>
    </w:p>
    <w:p>
      <w:pPr>
        <w:pStyle w:val="895"/>
        <w:ind w:firstLine="708"/>
        <w:jc w:val="both"/>
        <w:spacing w:line="360" w:lineRule="auto"/>
      </w:pPr>
      <w:r>
        <w:rPr>
          <w:sz w:val="28"/>
          <w:szCs w:val="28"/>
        </w:rPr>
        <w:t xml:space="preserve">Традиционными  спортивными  мероприятиями являются   спортивный  фестиваль «Бутурлин</w:t>
      </w:r>
      <w:r>
        <w:rPr>
          <w:sz w:val="28"/>
          <w:szCs w:val="28"/>
        </w:rPr>
        <w:t xml:space="preserve">ская лыжня»,  «День физкультурника»,  соревнования по стрельбе из световой винтовки, шашкам, шахматам, волейболу, велосоревнования,  фестиваль  детских садов "Малышиада", Чемпионат и  Первенство  округа по маунтинбайку, Межрайонный кубок по лыжным гонкам. </w:t>
      </w:r>
      <w:r/>
    </w:p>
    <w:p>
      <w:pPr>
        <w:ind w:firstLine="708"/>
        <w:jc w:val="both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рамках празднования Дня российской молодежи проведен</w:t>
      </w:r>
      <w:r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 xml:space="preserve">легкоатлетиеская</w:t>
      </w:r>
      <w:r>
        <w:rPr>
          <w:color w:val="000000" w:themeColor="text1"/>
          <w:sz w:val="28"/>
          <w:szCs w:val="28"/>
        </w:rPr>
        <w:t xml:space="preserve"> эстафета, </w:t>
      </w:r>
      <w:r>
        <w:rPr>
          <w:color w:val="000000" w:themeColor="text1"/>
          <w:sz w:val="28"/>
          <w:szCs w:val="28"/>
        </w:rPr>
        <w:t xml:space="preserve">конкурсно</w:t>
      </w:r>
      <w:r>
        <w:rPr>
          <w:color w:val="000000" w:themeColor="text1"/>
          <w:sz w:val="28"/>
          <w:szCs w:val="28"/>
        </w:rPr>
        <w:t xml:space="preserve">-игровая программа «нескучные выходные» и вечерняя концертная программа «Зажги свою мечту»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3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VII</w:t>
      </w:r>
      <w:r>
        <w:rPr>
          <w:rFonts w:ascii="Times New Roman" w:hAnsi="Times New Roman" w:cs="Times New Roman"/>
          <w:sz w:val="28"/>
          <w:szCs w:val="28"/>
        </w:rPr>
        <w:t xml:space="preserve">. Жилищное строительство и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sz w:val="28"/>
          <w:szCs w:val="28"/>
        </w:rPr>
        <w:t xml:space="preserve">граждан жильем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jc w:val="both"/>
        <w:spacing w:before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</w:t>
      </w:r>
      <w:r>
        <w:rPr>
          <w:sz w:val="28"/>
          <w:szCs w:val="28"/>
        </w:rPr>
        <w:t xml:space="preserve">региональной адресной программы «Переселение граждан на территории Нижегородской области в период с 2024 по 2028 год из аварийного жилищного фонда, признанного </w:t>
      </w:r>
      <w:r>
        <w:rPr>
          <w:sz w:val="28"/>
          <w:szCs w:val="28"/>
        </w:rPr>
        <w:t xml:space="preserve">таковым с 1 января 2017 </w:t>
      </w:r>
      <w:r>
        <w:rPr>
          <w:sz w:val="28"/>
          <w:szCs w:val="28"/>
        </w:rPr>
        <w:t xml:space="preserve">г. до 1 января 2022 г.» </w:t>
      </w:r>
      <w:r>
        <w:rPr>
          <w:sz w:val="28"/>
          <w:szCs w:val="28"/>
        </w:rPr>
        <w:t xml:space="preserve">продолжено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расселение</w:t>
      </w:r>
      <w:r>
        <w:rPr>
          <w:sz w:val="28"/>
          <w:szCs w:val="28"/>
        </w:rPr>
        <w:t xml:space="preserve"> граждан из аварийным</w:t>
      </w:r>
      <w:r>
        <w:rPr>
          <w:sz w:val="28"/>
          <w:szCs w:val="28"/>
        </w:rPr>
        <w:t xml:space="preserve"> дома, расположенного </w:t>
      </w:r>
      <w:r>
        <w:rPr>
          <w:sz w:val="28"/>
          <w:szCs w:val="28"/>
        </w:rPr>
        <w:t xml:space="preserve">по адресу: Нижегородская область, Бутурлинский район, р.п. Бутурлино, ул. </w:t>
      </w:r>
      <w:r>
        <w:rPr>
          <w:sz w:val="28"/>
          <w:szCs w:val="28"/>
        </w:rPr>
        <w:t xml:space="preserve">1 Мая</w:t>
      </w:r>
      <w:r>
        <w:rPr>
          <w:sz w:val="28"/>
          <w:szCs w:val="28"/>
        </w:rPr>
        <w:t xml:space="preserve">, д. </w:t>
      </w:r>
      <w:r>
        <w:rPr>
          <w:sz w:val="28"/>
          <w:szCs w:val="28"/>
        </w:rPr>
        <w:t xml:space="preserve">41.</w:t>
      </w:r>
      <w:r>
        <w:rPr>
          <w:sz w:val="28"/>
          <w:szCs w:val="28"/>
        </w:rPr>
        <w:t xml:space="preserve"> На реализацию мероприятия </w:t>
      </w:r>
      <w:r>
        <w:rPr>
          <w:sz w:val="28"/>
          <w:szCs w:val="28"/>
        </w:rPr>
        <w:t xml:space="preserve">в 2025 году </w:t>
      </w:r>
      <w:r>
        <w:rPr>
          <w:sz w:val="28"/>
          <w:szCs w:val="28"/>
        </w:rPr>
        <w:t xml:space="preserve">выделено </w:t>
      </w:r>
      <w:r>
        <w:rPr>
          <w:sz w:val="28"/>
          <w:szCs w:val="28"/>
        </w:rPr>
        <w:t xml:space="preserve">12 151 975,20 </w:t>
      </w:r>
      <w:r>
        <w:rPr>
          <w:sz w:val="28"/>
          <w:szCs w:val="28"/>
        </w:rPr>
        <w:t xml:space="preserve">руб. </w:t>
      </w:r>
      <w:r>
        <w:rPr>
          <w:sz w:val="28"/>
          <w:szCs w:val="28"/>
        </w:rPr>
        <w:t xml:space="preserve">в том числе 5741808,3 руб. фонд, 6089658,59 областной бюджет, 320508,31 руб. бюджет муниципального округа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государственной поддержке граждан по обеспечению жильем на тер</w:t>
      </w:r>
      <w:r>
        <w:rPr>
          <w:sz w:val="28"/>
          <w:szCs w:val="28"/>
        </w:rPr>
        <w:t xml:space="preserve">ритории Нижегородской области у</w:t>
      </w:r>
      <w:r>
        <w:rPr>
          <w:sz w:val="28"/>
          <w:szCs w:val="28"/>
        </w:rPr>
        <w:t xml:space="preserve">тратившим жилые помещения в </w:t>
      </w:r>
      <w:r>
        <w:rPr>
          <w:sz w:val="28"/>
          <w:szCs w:val="28"/>
        </w:rPr>
        <w:t xml:space="preserve">результате пожара, приобретено 1 жилое помещение на вторичном рынке жилья на сумму 2110,3 тыс. 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Для о</w:t>
      </w:r>
      <w:r>
        <w:rPr>
          <w:sz w:val="28"/>
          <w:szCs w:val="28"/>
        </w:rPr>
        <w:t xml:space="preserve">беспечени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жильем детей-сирот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приобретено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жилых помещени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на вторичном рынке на сумму  7,1 </w:t>
      </w:r>
      <w:r>
        <w:rPr>
          <w:sz w:val="28"/>
          <w:szCs w:val="28"/>
        </w:rPr>
        <w:t xml:space="preserve">млн.</w:t>
      </w:r>
      <w:r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По состоянию на 1 января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г. в Бутурлинском муниципальном округе  проживает </w:t>
      </w:r>
      <w:r>
        <w:rPr>
          <w:sz w:val="28"/>
          <w:szCs w:val="28"/>
        </w:rPr>
        <w:t xml:space="preserve">221</w:t>
      </w:r>
      <w:r>
        <w:rPr>
          <w:sz w:val="28"/>
          <w:szCs w:val="28"/>
        </w:rPr>
        <w:t xml:space="preserve"> многодетных семей. </w:t>
      </w:r>
      <w:r>
        <w:rPr>
          <w:sz w:val="28"/>
          <w:szCs w:val="28"/>
        </w:rPr>
        <w:t xml:space="preserve">За период действия Закона было предоставлено 22 земельных участк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 Очередь на предоставление земельных участков отсутствует.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903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VIII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Жилищно-коммунальное хозяйство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jc w:val="both"/>
        <w:spacing w:before="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6"/>
        </w:pBd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 рамках муниципальной программы «Комплексное развитие систем коммунальной инфраструктуры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территории </w:t>
      </w:r>
      <w:r>
        <w:rPr>
          <w:sz w:val="28"/>
          <w:szCs w:val="28"/>
        </w:rPr>
        <w:t xml:space="preserve">Бутурлинского</w:t>
      </w:r>
      <w:r>
        <w:rPr>
          <w:sz w:val="28"/>
          <w:szCs w:val="28"/>
        </w:rPr>
        <w:t xml:space="preserve"> муниципального округа Нижегородской области» </w:t>
      </w:r>
      <w:r>
        <w:rPr>
          <w:sz w:val="28"/>
          <w:szCs w:val="28"/>
        </w:rPr>
        <w:t xml:space="preserve">выполнен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ремонт систем водоснабжения в с. Яковлево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. на сумму 1634,615 </w:t>
      </w:r>
      <w:r>
        <w:rPr>
          <w:sz w:val="28"/>
          <w:szCs w:val="28"/>
        </w:rPr>
        <w:t xml:space="preserve">тыс.руб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ff0000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6"/>
        </w:pBd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реконструкция</w:t>
      </w:r>
      <w:r>
        <w:rPr>
          <w:sz w:val="28"/>
          <w:szCs w:val="28"/>
        </w:rPr>
        <w:t xml:space="preserve"> водопровода посредствам установки пожарных гидрантов в </w:t>
      </w:r>
      <w:r>
        <w:rPr>
          <w:sz w:val="28"/>
          <w:szCs w:val="28"/>
        </w:rPr>
        <w:t xml:space="preserve">р.п</w:t>
      </w:r>
      <w:r>
        <w:rPr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Бутурлино, ул. Мичурина, ул. 8-Марта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ул. Калинина на сумму 804,198 </w:t>
      </w:r>
      <w:r>
        <w:rPr>
          <w:sz w:val="28"/>
          <w:szCs w:val="28"/>
        </w:rPr>
        <w:t xml:space="preserve">тыс.руб</w:t>
      </w:r>
      <w:r>
        <w:rPr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ff0000"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6"/>
        </w:pBdr>
      </w:pPr>
      <w:r>
        <w:rPr>
          <w:sz w:val="28"/>
          <w:szCs w:val="28"/>
        </w:rPr>
        <w:t xml:space="preserve">На ремонт инженерной инфраструктуры</w:t>
      </w:r>
      <w:r>
        <w:rPr>
          <w:sz w:val="28"/>
          <w:szCs w:val="28"/>
        </w:rPr>
        <w:t xml:space="preserve"> за счет</w:t>
      </w:r>
      <w:r>
        <w:rPr>
          <w:sz w:val="28"/>
          <w:szCs w:val="28"/>
        </w:rPr>
        <w:t xml:space="preserve"> средств предприятий ЖКХ направлено – 5914,55 тыс. рублей: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895"/>
        <w:ind w:firstLine="709"/>
        <w:jc w:val="both"/>
        <w:spacing w:line="360" w:lineRule="auto"/>
        <w:rPr>
          <w:bCs/>
          <w:iCs/>
          <w:sz w:val="28"/>
          <w:szCs w:val="28"/>
        </w:rPr>
        <w:pBdr>
          <w:top w:val="single" w:color="FFFFFF" w:sz="4" w:space="0"/>
          <w:left w:val="single" w:color="FFFFFF" w:sz="4" w:space="0"/>
          <w:bottom w:val="single" w:color="FFFFFF" w:sz="4" w:space="28"/>
          <w:right w:val="single" w:color="FFFFFF" w:sz="4" w:space="6"/>
        </w:pBdr>
      </w:pPr>
      <w:r>
        <w:rPr>
          <w:bCs/>
          <w:iCs/>
          <w:sz w:val="28"/>
          <w:szCs w:val="28"/>
        </w:rPr>
        <w:t xml:space="preserve">За период действия программы догазификации в Бутурлинском муниципальном округе заключено 213 договора на бесплатное подведение газа до границ земельного участка, 144 домовладение подключили газ.</w:t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pStyle w:val="903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IX</w:t>
      </w:r>
      <w:r>
        <w:rPr>
          <w:rFonts w:ascii="Times New Roman" w:hAnsi="Times New Roman" w:cs="Times New Roman"/>
          <w:sz w:val="28"/>
          <w:szCs w:val="28"/>
        </w:rPr>
        <w:t xml:space="preserve">. Органи</w:t>
      </w:r>
      <w:r>
        <w:rPr>
          <w:rFonts w:ascii="Times New Roman" w:hAnsi="Times New Roman" w:cs="Times New Roman"/>
          <w:sz w:val="28"/>
          <w:szCs w:val="28"/>
        </w:rPr>
        <w:t xml:space="preserve">зац</w:t>
      </w:r>
      <w:r>
        <w:rPr>
          <w:rFonts w:ascii="Times New Roman" w:hAnsi="Times New Roman" w:cs="Times New Roman"/>
          <w:sz w:val="28"/>
          <w:szCs w:val="28"/>
        </w:rPr>
        <w:t xml:space="preserve">ия муниципального управления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jc w:val="both"/>
        <w:spacing w:before="24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Муниципальное управление в округе основывается на реализации федерального закона «Об общих принципах организации местного самоуправления в Российской Фед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ерации». Большая работа проводится по информационной открытости о деятельности органов местного самоуправления. </w:t>
        <w:tab/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3"/>
        <w:ind w:firstLine="708"/>
        <w:jc w:val="both"/>
        <w:spacing w:before="24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Это работа сайта и социальных сетей администрации Бутурлинского муниципального округа Нижегородской области, информированность населения через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районную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газету «Бутурлинская жизнь». Проводятся рабочие совещания с руководителями предприятий округа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индивидуальными предпринимателями.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3"/>
        <w:jc w:val="both"/>
        <w:spacing w:before="24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Доходы бюджета Бутурлинского муниципального округа за 2025 год исполнены на 92,1 % к уточненному плану и составили 1 275,1 млн. рублей, в том числе налоговые и неналоговые доходы – 385,0 млн. рублей или 104,6 % к уточненному плану.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95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налоговых и неналоговых доходах наибольший объем составляет поступление налога на доходы физических лиц (271,4 млн. рублей или 70,3 %).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налоговых доходах также большую долю составляют поступл</w:t>
      </w:r>
      <w:r>
        <w:rPr>
          <w:sz w:val="28"/>
          <w:szCs w:val="28"/>
        </w:rPr>
        <w:t xml:space="preserve">ения налогов на совокупный доход (упрощенная система налогообложения, единый сельскохозяйственный налог, патентная система налогообложения) – 31,9 млн. рублей, и налогов на имущество (налог на имущество физических лиц и земельный налог) – 20,6 млн.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составе неналоговых доходов наибольший объем поступлений приходится на доходы от использования и реализации муниципального имущества – </w:t>
      </w:r>
      <w:r>
        <w:rPr>
          <w:sz w:val="28"/>
          <w:szCs w:val="28"/>
        </w:rPr>
        <w:t xml:space="preserve">30,1</w:t>
      </w:r>
      <w:r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 xml:space="preserve">196,4</w:t>
      </w:r>
      <w:r>
        <w:rPr>
          <w:sz w:val="28"/>
          <w:szCs w:val="28"/>
        </w:rPr>
        <w:t xml:space="preserve"> % к уточненному плану), в том числе доходы от аренды земельных участков и имущества – 12,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 xml:space="preserve">, доходы от реализации земельных участков и имущества-17,3 </w:t>
      </w:r>
      <w:r>
        <w:rPr>
          <w:sz w:val="28"/>
          <w:szCs w:val="28"/>
        </w:rPr>
        <w:t xml:space="preserve">млн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Безвозмездные перечисления из других бюджетов поступили в объеме </w:t>
      </w:r>
      <w:r>
        <w:rPr>
          <w:sz w:val="28"/>
          <w:szCs w:val="28"/>
        </w:rPr>
        <w:t xml:space="preserve">894,5</w:t>
      </w:r>
      <w:r>
        <w:rPr>
          <w:sz w:val="28"/>
          <w:szCs w:val="28"/>
        </w:rPr>
        <w:t xml:space="preserve"> млн. рублей или </w:t>
      </w:r>
      <w:r>
        <w:rPr>
          <w:sz w:val="28"/>
          <w:szCs w:val="28"/>
        </w:rPr>
        <w:t xml:space="preserve">87,6</w:t>
      </w:r>
      <w:r>
        <w:rPr>
          <w:sz w:val="28"/>
          <w:szCs w:val="28"/>
        </w:rPr>
        <w:t xml:space="preserve"> % от запланированного, в том числе: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дотаций – 272,6 млн. рублей (90,0 % от уточненного плана);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субсидий – </w:t>
      </w:r>
      <w:r>
        <w:rPr>
          <w:sz w:val="28"/>
          <w:szCs w:val="28"/>
        </w:rPr>
        <w:t xml:space="preserve">197,4</w:t>
      </w:r>
      <w:r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 xml:space="preserve">68,7</w:t>
      </w:r>
      <w:r>
        <w:rPr>
          <w:sz w:val="28"/>
          <w:szCs w:val="28"/>
        </w:rPr>
        <w:t xml:space="preserve"> % от уточненного плана);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субвенций – </w:t>
      </w:r>
      <w:r>
        <w:rPr>
          <w:sz w:val="28"/>
          <w:szCs w:val="28"/>
        </w:rPr>
        <w:t xml:space="preserve">399,6</w:t>
      </w:r>
      <w:r>
        <w:rPr>
          <w:sz w:val="28"/>
          <w:szCs w:val="28"/>
        </w:rPr>
        <w:t xml:space="preserve"> млн. рублей (</w:t>
      </w:r>
      <w:r>
        <w:rPr>
          <w:sz w:val="28"/>
          <w:szCs w:val="28"/>
        </w:rPr>
        <w:t xml:space="preserve">98,5 </w:t>
      </w:r>
      <w:r>
        <w:rPr>
          <w:sz w:val="28"/>
          <w:szCs w:val="28"/>
        </w:rPr>
        <w:t xml:space="preserve">%);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иных межбюджетных трансфертов – </w:t>
      </w:r>
      <w:r>
        <w:rPr>
          <w:sz w:val="28"/>
          <w:szCs w:val="28"/>
        </w:rPr>
        <w:t xml:space="preserve">24,8</w:t>
      </w:r>
      <w:r>
        <w:rPr>
          <w:sz w:val="28"/>
          <w:szCs w:val="28"/>
        </w:rPr>
        <w:t xml:space="preserve"> млн. рублей (100,0 %).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540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2025</w:t>
      </w:r>
      <w:r>
        <w:rPr>
          <w:color w:val="000000"/>
          <w:sz w:val="28"/>
          <w:szCs w:val="28"/>
        </w:rPr>
        <w:t xml:space="preserve"> год в рамках реализации Федерального закона О контрактной системе в сфере закупок товаров, работ, услуг для обеспечения государственных и муниципальных нужд было проведено 96 закупочных процедур (91 аукционов, 3 открытых конкурсов, 2 запрос котировок).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5"/>
        <w:ind w:firstLine="540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Сумма заключенных контрактов составила 136,55 млн. рублей. Сумма     экономии в результате электронных торгов составила 8,42 млн. рублей.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5"/>
        <w:ind w:firstLine="540"/>
        <w:jc w:val="both"/>
        <w:spacing w:line="360" w:lineRule="auto"/>
      </w:pPr>
      <w:r>
        <w:rPr>
          <w:sz w:val="28"/>
          <w:szCs w:val="28"/>
        </w:rPr>
      </w:r>
      <w:r>
        <w:rPr>
          <w:sz w:val="28"/>
          <w:szCs w:val="28"/>
        </w:rPr>
        <w:t xml:space="preserve">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продолжена реализация муниципальных программ в рамках исполнения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Бутурлинского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риняты постановлениями администрации </w:t>
      </w:r>
      <w:r>
        <w:rPr>
          <w:sz w:val="28"/>
          <w:szCs w:val="28"/>
        </w:rPr>
        <w:t xml:space="preserve">Бутурлинского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и реализованы 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, содержащих в себе </w:t>
      </w:r>
      <w:r>
        <w:rPr>
          <w:sz w:val="28"/>
          <w:szCs w:val="28"/>
        </w:rPr>
        <w:t xml:space="preserve">61</w:t>
      </w:r>
      <w:r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Общий объем денежных средств, выделенных на финансирование муниципальных программ, составил </w:t>
      </w:r>
      <w:r>
        <w:rPr>
          <w:color w:val="000000" w:themeColor="text1"/>
          <w:sz w:val="28"/>
          <w:szCs w:val="28"/>
        </w:rPr>
        <w:t xml:space="preserve">1418,881</w:t>
      </w:r>
      <w:r>
        <w:rPr>
          <w:color w:val="000000" w:themeColor="text1"/>
          <w:sz w:val="28"/>
          <w:szCs w:val="28"/>
        </w:rPr>
        <w:t xml:space="preserve"> млн. рублей, расход за 20</w:t>
      </w: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 год </w:t>
      </w:r>
      <w:r>
        <w:rPr>
          <w:color w:val="000000" w:themeColor="text1"/>
          <w:sz w:val="28"/>
          <w:szCs w:val="28"/>
        </w:rPr>
        <w:t xml:space="preserve">составил </w:t>
      </w:r>
      <w:r>
        <w:rPr>
          <w:color w:val="000000" w:themeColor="text1"/>
          <w:sz w:val="28"/>
          <w:szCs w:val="28"/>
        </w:rPr>
        <w:t xml:space="preserve">1311,064</w:t>
      </w:r>
      <w:r>
        <w:rPr>
          <w:color w:val="000000" w:themeColor="text1"/>
          <w:sz w:val="28"/>
          <w:szCs w:val="28"/>
        </w:rPr>
        <w:t xml:space="preserve"> млн. рублей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В настоящее время проведена оценка эффективности муниципальных </w:t>
      </w:r>
      <w:r>
        <w:rPr>
          <w:color w:val="000000" w:themeColor="text1"/>
          <w:sz w:val="28"/>
          <w:szCs w:val="28"/>
        </w:rPr>
        <w:t xml:space="preserve">программ, в результате которой все </w:t>
      </w:r>
      <w:r>
        <w:rPr>
          <w:color w:val="000000" w:themeColor="text1"/>
          <w:sz w:val="28"/>
          <w:szCs w:val="28"/>
        </w:rPr>
        <w:t xml:space="preserve">программы </w:t>
      </w:r>
      <w:r>
        <w:rPr>
          <w:color w:val="000000" w:themeColor="text1"/>
          <w:sz w:val="28"/>
          <w:szCs w:val="28"/>
        </w:rPr>
        <w:t xml:space="preserve">получили </w:t>
      </w:r>
      <w:r>
        <w:rPr>
          <w:color w:val="000000" w:themeColor="text1"/>
          <w:sz w:val="28"/>
          <w:szCs w:val="28"/>
        </w:rPr>
        <w:t xml:space="preserve">высоки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 рейтинг.</w:t>
      </w:r>
      <w:r>
        <w:rPr>
          <w:sz w:val="28"/>
          <w:szCs w:val="28"/>
        </w:rPr>
      </w:r>
      <w:r/>
    </w:p>
    <w:p>
      <w:pPr>
        <w:pStyle w:val="903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. Энергосбережение и повышение энергетической эффективности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jc w:val="both"/>
        <w:spacing w:before="240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 муниципальных бюджетных организациях приняты программы по энергосбережению.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Руководители бюджетных организаций, опираясь на действующее законодательство, решают в сфере энергосбережения следующие задачи: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– проводят в подведомственных учреждениях энергосберегающую политику;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– обеспечивают снижение затрат на энергетические ресурсы;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 организуют работу по сбережению энергетических ресурсов.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Для решения этих задач руководители бюджетных организаций: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 организовывают проведение энергетических обследований и на основании их выводов выявляют основные энергетические проблемы и пути их решения;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организуют разработку энергетических паспортов;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 разрабатывают и осуществляют программы энергосбережения;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– определяют источники финансирования программ энергосбережения и проектов; – ведут разъяснительную работу по вопросам энергосбережения.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568"/>
        <w:jc w:val="both"/>
        <w:spacing w:before="24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XI</w:t>
      </w:r>
      <w:r>
        <w:rPr>
          <w:b/>
          <w:sz w:val="28"/>
          <w:szCs w:val="28"/>
        </w:rPr>
        <w:t xml:space="preserve">. Результаты независимой оценки качества условий оказания услуг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</w:t>
      </w:r>
      <w:r>
        <w:rPr>
          <w:b/>
          <w:sz w:val="28"/>
          <w:szCs w:val="28"/>
        </w:rPr>
        <w:t xml:space="preserve">ассигнований бюджетов муниципальных образований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spacing w:line="360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В 2025 году на территории округа </w:t>
      </w:r>
      <w:r>
        <w:rPr>
          <w:b w:val="0"/>
          <w:bCs w:val="0"/>
          <w:sz w:val="28"/>
          <w:szCs w:val="28"/>
          <w:highlight w:val="white"/>
        </w:rPr>
        <w:t xml:space="preserve">независимую оценку качества условий оказания услуг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проходили муниципальные бюджетные общеобразовательные  и образовательные учреждения </w:t>
      </w:r>
      <w:r>
        <w:rPr>
          <w:b w:val="0"/>
          <w:bCs w:val="0"/>
          <w:sz w:val="28"/>
          <w:szCs w:val="28"/>
          <w:highlight w:val="white"/>
        </w:rPr>
        <w:t xml:space="preserve">и учреждения культуры.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95"/>
        <w:numPr>
          <w:ilvl w:val="0"/>
          <w:numId w:val="28"/>
        </w:numPr>
        <w:ind w:left="0" w:right="0" w:firstLine="567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 протоколом заседания</w:t>
      </w:r>
      <w:r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Общественного совета по проведению независимой оценки  качества условий осуществления образовательной деятельности  от  11.03.2025 № 1  в 2025 году д</w:t>
      </w:r>
      <w:r>
        <w:rPr>
          <w:sz w:val="28"/>
          <w:szCs w:val="28"/>
        </w:rPr>
        <w:t xml:space="preserve">ля проведения  независимой оценки  качества условий осуществления  образовательной деятельности организациями, расположенными на территории Бутурлинского муниципального  округа Нижегородской области, были определены пять  муниципальных бюджетных общеобра</w:t>
      </w:r>
      <w:r>
        <w:rPr>
          <w:sz w:val="28"/>
          <w:szCs w:val="28"/>
        </w:rPr>
        <w:t xml:space="preserve">зовательных учреждений: МАДОУ д/с «Радуга», МБДОУ д/с «Березка», </w:t>
      </w:r>
      <w:r>
        <w:rPr>
          <w:sz w:val="28"/>
          <w:szCs w:val="28"/>
        </w:rPr>
        <w:t xml:space="preserve">МБДОУ д/с «Колосок»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МБДОУ д/с «Светлячок»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МБДОУ д/с «Теремок»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914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  <w:tab/>
        <w:t xml:space="preserve">ООО «Эмпирика» </w:t>
      </w:r>
      <w:r>
        <w:rPr>
          <w:sz w:val="28"/>
          <w:szCs w:val="28"/>
        </w:rPr>
        <w:t xml:space="preserve">выбрана </w:t>
      </w:r>
      <w:r>
        <w:rPr>
          <w:sz w:val="28"/>
          <w:szCs w:val="28"/>
        </w:rPr>
        <w:t xml:space="preserve">в каче</w:t>
      </w:r>
      <w:r>
        <w:rPr>
          <w:sz w:val="28"/>
          <w:szCs w:val="28"/>
        </w:rPr>
        <w:t xml:space="preserve">стве организации-оператора для  проведения независимой оценки качества условий осуществления образовательной деятельности, осуществляемой муниципальными образовательными учреждениями Бутурлинского муниципального округа Нижегородской области, в 2025 году.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Независимая оценка качества условий осуществления образовательной деятельности  в 2025 году проводилась по показателям в соответствии с Приказом Минтру</w:t>
      </w:r>
      <w:r>
        <w:rPr>
          <w:sz w:val="28"/>
          <w:szCs w:val="28"/>
        </w:rPr>
        <w:t xml:space="preserve">да России от 31.05.2018 N 344н «</w:t>
      </w:r>
      <w:r>
        <w:rPr>
          <w:sz w:val="28"/>
          <w:szCs w:val="28"/>
        </w:rPr>
        <w:t xml:space="preserve">Об утверж</w:t>
      </w:r>
      <w:r>
        <w:rPr>
          <w:sz w:val="28"/>
          <w:szCs w:val="28"/>
        </w:rPr>
        <w:t xml:space="preserve">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center"/>
        <w:spacing w:line="36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Обобщенные результаты  в отношении всех организаций, участвовавших в  процедуре Основные результаты </w:t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89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организаций, принявших участие в процедуре независимой оценки качества условий оказания услуг - 5.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Среднее значение - 97,9.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Максимальное значение (в баллах) - 100.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Минимальное значение - 93,8.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Доля организаций, получивших наивысшие  оценки в интервале 80-100 баллов, от общего числа организаций, в отношении  которых проводилась  оценка,  составила </w:t>
      </w:r>
      <w:r>
        <w:rPr>
          <w:sz w:val="28"/>
          <w:szCs w:val="28"/>
          <w:highlight w:val="white"/>
        </w:rPr>
        <w:t xml:space="preserve">100%.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5"/>
        <w:jc w:val="center"/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Рейтинг организаций по результатам процедуры сбора, обобщения и анализа информации о качестве условий оказания услуг организациями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15"/>
        <w:ind w:left="720"/>
        <w:jc w:val="both"/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tbl>
      <w:tblPr>
        <w:tblW w:w="9691" w:type="dxa"/>
        <w:tblInd w:w="-6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600" w:firstRow="0" w:lastRow="0" w:firstColumn="0" w:lastColumn="0" w:noHBand="1" w:noVBand="1"/>
      </w:tblPr>
      <w:tblGrid>
        <w:gridCol w:w="1571"/>
        <w:gridCol w:w="5711"/>
        <w:gridCol w:w="2409"/>
      </w:tblGrid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571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Место в рейтинге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711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S (итоговый показатель  оценки качества организации)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571" w:type="dxa"/>
            <w:vAlign w:val="bottom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711" w:type="dxa"/>
            <w:vAlign w:val="bottom"/>
            <w:textDirection w:val="lrTb"/>
            <w:noWrap w:val="false"/>
          </w:tcPr>
          <w:p>
            <w:pPr>
              <w:pStyle w:val="915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МБДОУ детский сад «Березка»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9" w:type="dxa"/>
            <w:vAlign w:val="bottom"/>
            <w:textDirection w:val="lrTb"/>
            <w:noWrap w:val="false"/>
          </w:tcPr>
          <w:p>
            <w:pPr>
              <w:pStyle w:val="915"/>
              <w:jc w:val="right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571" w:type="dxa"/>
            <w:vAlign w:val="bottom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711" w:type="dxa"/>
            <w:vAlign w:val="bottom"/>
            <w:textDirection w:val="lrTb"/>
            <w:noWrap w:val="false"/>
          </w:tcPr>
          <w:p>
            <w:pPr>
              <w:pStyle w:val="915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МАДОУ детский сад «Радуга»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9" w:type="dxa"/>
            <w:vAlign w:val="bottom"/>
            <w:textDirection w:val="lrTb"/>
            <w:noWrap w:val="false"/>
          </w:tcPr>
          <w:p>
            <w:pPr>
              <w:pStyle w:val="915"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98,8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571" w:type="dxa"/>
            <w:vAlign w:val="bottom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711" w:type="dxa"/>
            <w:vAlign w:val="bottom"/>
            <w:textDirection w:val="lrTb"/>
            <w:noWrap w:val="false"/>
          </w:tcPr>
          <w:p>
            <w:pPr>
              <w:pStyle w:val="915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МБДОУ детский сад «Теремок»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9" w:type="dxa"/>
            <w:vAlign w:val="bottom"/>
            <w:textDirection w:val="lrTb"/>
            <w:noWrap w:val="false"/>
          </w:tcPr>
          <w:p>
            <w:pPr>
              <w:pStyle w:val="915"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98,7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571" w:type="dxa"/>
            <w:vAlign w:val="bottom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711" w:type="dxa"/>
            <w:vAlign w:val="bottom"/>
            <w:textDirection w:val="lrTb"/>
            <w:noWrap w:val="false"/>
          </w:tcPr>
          <w:p>
            <w:pPr>
              <w:pStyle w:val="915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МБДОУ детский сад «Светлячок»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9" w:type="dxa"/>
            <w:vAlign w:val="bottom"/>
            <w:textDirection w:val="lrTb"/>
            <w:noWrap w:val="false"/>
          </w:tcPr>
          <w:p>
            <w:pPr>
              <w:pStyle w:val="915"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98,1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571" w:type="dxa"/>
            <w:vAlign w:val="bottom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711" w:type="dxa"/>
            <w:vAlign w:val="bottom"/>
            <w:textDirection w:val="lrTb"/>
            <w:noWrap w:val="false"/>
          </w:tcPr>
          <w:p>
            <w:pPr>
              <w:pStyle w:val="915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МБДОУ детский сад «Колосок»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15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9" w:type="dxa"/>
            <w:vAlign w:val="bottom"/>
            <w:textDirection w:val="lrTb"/>
            <w:noWrap w:val="false"/>
          </w:tcPr>
          <w:p>
            <w:pPr>
              <w:pStyle w:val="915"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93,8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95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left="0" w:right="0" w:firstLine="709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 2025 году д</w:t>
      </w:r>
      <w:r>
        <w:rPr>
          <w:sz w:val="28"/>
          <w:szCs w:val="28"/>
        </w:rPr>
        <w:t xml:space="preserve">ля проведения независимой оценки </w:t>
      </w:r>
      <w:r>
        <w:rPr>
          <w:sz w:val="28"/>
          <w:szCs w:val="28"/>
        </w:rPr>
        <w:t xml:space="preserve">условий оказания услуг по организациям культуры </w:t>
      </w:r>
      <w:r>
        <w:rPr>
          <w:sz w:val="28"/>
          <w:szCs w:val="28"/>
        </w:rPr>
        <w:t xml:space="preserve">Бутурлинского муниципального округа Нижегородской области, были определены четыре муниципальных бюджетных учреждений культуры</w:t>
      </w:r>
      <w:r>
        <w:rPr>
          <w:sz w:val="28"/>
          <w:szCs w:val="28"/>
        </w:rPr>
        <w:t xml:space="preserve">: МБУК «Бутурлинская меж поселенческая централизованная библиотечная система, МБУК «Бутурлинский историко-краеведческий музей», МБУК «Бутурлинский районный Дворец культуры», МБУК «Центр досуга, ремесел и туризма»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4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  <w:tab/>
        <w:t xml:space="preserve">ООО исследовательская компания «Лидер» </w:t>
      </w:r>
      <w:r>
        <w:rPr>
          <w:sz w:val="28"/>
          <w:szCs w:val="28"/>
        </w:rPr>
        <w:t xml:space="preserve">выбрана </w:t>
      </w:r>
      <w:r>
        <w:rPr>
          <w:sz w:val="28"/>
          <w:szCs w:val="28"/>
        </w:rPr>
        <w:t xml:space="preserve">в каче</w:t>
      </w:r>
      <w:r>
        <w:rPr>
          <w:sz w:val="28"/>
          <w:szCs w:val="28"/>
        </w:rPr>
        <w:t xml:space="preserve">стве  условий оказания услуг по организациям культуры Бутурлинского муниципального округа Нижегородской области, в 2025 году.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Независимая оценка качества условий осуществления образовательной деятельности  в 2025 году проводилась по показателям в соответствии с Приказом Минтру</w:t>
      </w:r>
      <w:r>
        <w:rPr>
          <w:sz w:val="28"/>
          <w:szCs w:val="28"/>
        </w:rPr>
        <w:t xml:space="preserve">да России от 31.05.2018 N 344н «</w:t>
      </w:r>
      <w:r>
        <w:rPr>
          <w:sz w:val="28"/>
          <w:szCs w:val="28"/>
        </w:rPr>
        <w:t xml:space="preserve">Об утверж</w:t>
      </w:r>
      <w:r>
        <w:rPr>
          <w:sz w:val="28"/>
          <w:szCs w:val="28"/>
        </w:rPr>
        <w:t xml:space="preserve">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center"/>
        <w:spacing w:line="36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Обобщенные результаты  в отношении всех организаций, участвовавших в  процедуре Основные результаты </w:t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89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организаций, принявших участие в процедуре независимой оценки качества условий оказания услуг - 4.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Среднее значение - 86,57.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Максимальное значение (в баллах) - 93,24.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Минимальное значение - 22.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360" w:lineRule="auto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Доля организаций, получивших наивысшие  оценки в интервале 80-100 баллов, от общего числа организаций, в отношении  которых проводилась  оценка,  составила 100</w:t>
      </w:r>
      <w:r>
        <w:rPr>
          <w:sz w:val="28"/>
          <w:szCs w:val="28"/>
          <w:highlight w:val="white"/>
        </w:rPr>
        <w:t xml:space="preserve">%.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15"/>
        <w:jc w:val="center"/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Рейтинг организаций по результатам процедуры сбора, обобщения и анализа информации о качестве условий оказания услуг организациями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15"/>
        <w:ind w:left="720"/>
        <w:jc w:val="both"/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tbl>
      <w:tblPr>
        <w:tblW w:w="9691" w:type="dxa"/>
        <w:tblInd w:w="-6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600" w:firstRow="0" w:lastRow="0" w:firstColumn="0" w:lastColumn="0" w:noHBand="1" w:noVBand="1"/>
      </w:tblPr>
      <w:tblGrid>
        <w:gridCol w:w="1571"/>
        <w:gridCol w:w="5711"/>
        <w:gridCol w:w="2409"/>
      </w:tblGrid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571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Место в рейтинге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711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S (итоговый показатель  оценки качества организации)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571" w:type="dxa"/>
            <w:vAlign w:val="bottom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711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Муниципальное бюджетное учреждение культуры «Буrурлинская меж поселенческая централизованная библиотечная система»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9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571" w:type="dxa"/>
            <w:vAlign w:val="bottom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711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Муниципальное бюджетное учреждение культуры «Буrурлинский историкокраеведческий музей»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9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93,24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571" w:type="dxa"/>
            <w:vAlign w:val="bottom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711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Муниципальное бюджетное учреждение культуры «Буrурлинский районный Дворец культуры»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9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83,06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571" w:type="dxa"/>
            <w:vAlign w:val="bottom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711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Муниципальное бюджетное учреждение культуры «Центр досуга, ремесел и туризма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9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87,61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709"/>
        <w:jc w:val="both"/>
        <w:spacing w:line="360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895"/>
        <w:ind w:left="0" w:right="0" w:firstLine="708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3. Кроме того, в 2025 году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ля проведения  независимой оценки  качества условий осуществления образовательной деятельности было определено  муниципальное бюджетное учреждение</w:t>
      </w:r>
      <w:r>
        <w:rPr>
          <w:sz w:val="28"/>
          <w:szCs w:val="28"/>
        </w:rPr>
        <w:t xml:space="preserve"> дополнительного образования: </w:t>
      </w:r>
      <w:r>
        <w:rPr>
          <w:sz w:val="28"/>
          <w:szCs w:val="28"/>
        </w:rPr>
        <w:t xml:space="preserve">МБУ ДО «Детская школа искусств» Бутурлинского муниципального округа Нижегородской области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4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  <w:tab/>
        <w:t xml:space="preserve">ООО исследовательская компания «Лидер» </w:t>
      </w:r>
      <w:r>
        <w:rPr>
          <w:sz w:val="28"/>
          <w:szCs w:val="28"/>
        </w:rPr>
        <w:t xml:space="preserve">выбрана </w:t>
      </w:r>
      <w:r>
        <w:rPr>
          <w:sz w:val="28"/>
          <w:szCs w:val="28"/>
        </w:rPr>
        <w:t xml:space="preserve">в каче</w:t>
      </w:r>
      <w:r>
        <w:rPr>
          <w:sz w:val="28"/>
          <w:szCs w:val="28"/>
        </w:rPr>
        <w:t xml:space="preserve">стве сбора и обобщения информации о качестве условий оказания услуг по учреждению дополнительного образования Бутурлинского муниципального округа Нижегородской области, в 2025 году.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Независимая оценка качества условий осуществления образовательной деятельности  в 2025 году проводилась по показателям в соответствии с Приказом Минтру</w:t>
      </w:r>
      <w:r>
        <w:rPr>
          <w:sz w:val="28"/>
          <w:szCs w:val="28"/>
        </w:rPr>
        <w:t xml:space="preserve">да России от 31.05.2018 N 344н «</w:t>
      </w:r>
      <w:r>
        <w:rPr>
          <w:sz w:val="28"/>
          <w:szCs w:val="28"/>
        </w:rPr>
        <w:t xml:space="preserve">Об утверж</w:t>
      </w:r>
      <w:r>
        <w:rPr>
          <w:sz w:val="28"/>
          <w:szCs w:val="28"/>
        </w:rPr>
        <w:t xml:space="preserve">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firstLine="708"/>
        <w:jc w:val="center"/>
        <w:spacing w:line="36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Обобщенные результаты  в отношении всех организаций, участвовавших в  процедуре Основные результаты </w:t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Style w:val="89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организаций, принявших участие в процедуре независимой оценки качества условий оказания услуг - 1.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Среднее значение - 90,20.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Максимальное значение (в баллах) - 90,20.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Минимальное значение - 52,00.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Доля организаций, получивших наивысшие  оценки в интервале 80-100 баллов, от общего числа организаций, в отношении  которых проводилась  оценка,  составила </w:t>
      </w:r>
      <w:r>
        <w:rPr>
          <w:sz w:val="28"/>
          <w:szCs w:val="28"/>
          <w:highlight w:val="white"/>
        </w:rPr>
        <w:t xml:space="preserve">10</w:t>
      </w:r>
      <w:r>
        <w:rPr>
          <w:sz w:val="28"/>
          <w:szCs w:val="28"/>
          <w:highlight w:val="white"/>
        </w:rPr>
        <w:t xml:space="preserve">0</w:t>
      </w:r>
      <w:r>
        <w:rPr>
          <w:sz w:val="28"/>
          <w:szCs w:val="28"/>
          <w:highlight w:val="white"/>
        </w:rPr>
        <w:t xml:space="preserve">%.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5"/>
        <w:jc w:val="center"/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Рейтинг организаций по результатам процедуры сбора, обобщения и анализа информации о качестве условий оказания услуг организациями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15"/>
        <w:ind w:left="720"/>
        <w:jc w:val="both"/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tbl>
      <w:tblPr>
        <w:tblW w:w="9691" w:type="dxa"/>
        <w:tblInd w:w="-6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600" w:firstRow="0" w:lastRow="0" w:firstColumn="0" w:lastColumn="0" w:noHBand="1" w:noVBand="1"/>
      </w:tblPr>
      <w:tblGrid>
        <w:gridCol w:w="1571"/>
        <w:gridCol w:w="5711"/>
        <w:gridCol w:w="2409"/>
      </w:tblGrid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571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Место в рейтинге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711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S (итоговый показатель  оценки качества организации)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5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1571" w:type="dxa"/>
            <w:vAlign w:val="bottom"/>
            <w:textDirection w:val="lrTb"/>
            <w:noWrap w:val="false"/>
          </w:tcPr>
          <w:p>
            <w:pPr>
              <w:pStyle w:val="915"/>
              <w:jc w:val="center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5711" w:type="dxa"/>
            <w:vAlign w:val="bottom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МБУ ДО «Детская школа искусств»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0" w:type="dxa"/>
              <w:top w:w="40" w:type="dxa"/>
              <w:right w:w="40" w:type="dxa"/>
              <w:bottom w:w="40" w:type="dxa"/>
            </w:tcMar>
            <w:tcW w:w="2409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3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3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3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3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3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3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03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местного самоуправления</w:t>
        <w:tab/>
        <w:tab/>
        <w:tab/>
        <w:tab/>
        <w:tab/>
        <w:tab/>
        <w:t xml:space="preserve">М.Ф.Петрова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719" w:right="850" w:bottom="719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">
    <w:panose1 w:val="020B0604020202020204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i w:val="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720" w:hanging="360"/>
        <w:tabs>
          <w:tab w:val="num" w:pos="720" w:leader="none"/>
        </w:tabs>
      </w:pPr>
      <w:rPr>
        <w:b w:val="0"/>
        <w:i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b w:val="0"/>
        <w:i w:val="0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b w:val="0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b w:val="0"/>
        <w:i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b w:val="0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b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26"/>
  </w:num>
  <w:num w:numId="2">
    <w:abstractNumId w:val="0"/>
  </w:num>
  <w:num w:numId="3">
    <w:abstractNumId w:val="24"/>
  </w:num>
  <w:num w:numId="4">
    <w:abstractNumId w:val="16"/>
  </w:num>
  <w:num w:numId="5">
    <w:abstractNumId w:val="5"/>
  </w:num>
  <w:num w:numId="6">
    <w:abstractNumId w:val="11"/>
  </w:num>
  <w:num w:numId="7">
    <w:abstractNumId w:val="22"/>
  </w:num>
  <w:num w:numId="8">
    <w:abstractNumId w:val="25"/>
  </w:num>
  <w:num w:numId="9">
    <w:abstractNumId w:val="1"/>
  </w:num>
  <w:num w:numId="10">
    <w:abstractNumId w:val="23"/>
  </w:num>
  <w:num w:numId="11">
    <w:abstractNumId w:val="2"/>
  </w:num>
  <w:num w:numId="12">
    <w:abstractNumId w:val="20"/>
  </w:num>
  <w:num w:numId="13">
    <w:abstractNumId w:val="13"/>
  </w:num>
  <w:num w:numId="14">
    <w:abstractNumId w:val="14"/>
  </w:num>
  <w:num w:numId="15">
    <w:abstractNumId w:val="17"/>
  </w:num>
  <w:num w:numId="16">
    <w:abstractNumId w:val="7"/>
  </w:num>
  <w:num w:numId="17">
    <w:abstractNumId w:val="21"/>
  </w:num>
  <w:num w:numId="18">
    <w:abstractNumId w:val="15"/>
  </w:num>
  <w:num w:numId="19">
    <w:abstractNumId w:val="19"/>
  </w:num>
  <w:num w:numId="20">
    <w:abstractNumId w:val="4"/>
  </w:num>
  <w:num w:numId="21">
    <w:abstractNumId w:val="3"/>
  </w:num>
  <w:num w:numId="22">
    <w:abstractNumId w:val="9"/>
  </w:num>
  <w:num w:numId="23">
    <w:abstractNumId w:val="10"/>
  </w:num>
  <w:num w:numId="24">
    <w:abstractNumId w:val="6"/>
  </w:num>
  <w:num w:numId="25">
    <w:abstractNumId w:val="12"/>
  </w:num>
  <w:num w:numId="26">
    <w:abstractNumId w:val="18"/>
  </w:num>
  <w:num w:numId="27">
    <w:abstractNumId w:val="8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Heading 1"/>
    <w:basedOn w:val="895"/>
    <w:next w:val="895"/>
    <w:link w:val="71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8">
    <w:name w:val="Heading 1 Char"/>
    <w:link w:val="71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9">
    <w:name w:val="Heading 2"/>
    <w:basedOn w:val="895"/>
    <w:next w:val="895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20">
    <w:name w:val="Heading 2 Char"/>
    <w:link w:val="719"/>
    <w:uiPriority w:val="9"/>
    <w:rPr>
      <w:rFonts w:ascii="Liberation Sans" w:hAnsi="Liberation Sans" w:eastAsia="Liberation Sans" w:cs="Liberation Sans"/>
      <w:sz w:val="34"/>
    </w:rPr>
  </w:style>
  <w:style w:type="paragraph" w:styleId="721">
    <w:name w:val="Heading 3"/>
    <w:basedOn w:val="895"/>
    <w:next w:val="895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22">
    <w:name w:val="Heading 3 Char"/>
    <w:link w:val="72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23">
    <w:name w:val="Heading 4"/>
    <w:basedOn w:val="895"/>
    <w:next w:val="895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4">
    <w:name w:val="Heading 4 Char"/>
    <w:link w:val="72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5">
    <w:name w:val="Heading 5"/>
    <w:basedOn w:val="895"/>
    <w:next w:val="895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6">
    <w:name w:val="Heading 5 Char"/>
    <w:link w:val="72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7">
    <w:name w:val="Heading 6"/>
    <w:basedOn w:val="895"/>
    <w:next w:val="895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8">
    <w:name w:val="Heading 6 Char"/>
    <w:link w:val="72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9">
    <w:name w:val="Heading 7"/>
    <w:basedOn w:val="895"/>
    <w:next w:val="895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0">
    <w:name w:val="Heading 7 Char"/>
    <w:link w:val="72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1">
    <w:name w:val="Heading 8"/>
    <w:basedOn w:val="895"/>
    <w:next w:val="895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2">
    <w:name w:val="Heading 8 Char"/>
    <w:link w:val="73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3">
    <w:name w:val="Heading 9"/>
    <w:basedOn w:val="895"/>
    <w:next w:val="895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4">
    <w:name w:val="Heading 9 Char"/>
    <w:link w:val="73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35">
    <w:name w:val="List Paragraph"/>
    <w:basedOn w:val="895"/>
    <w:uiPriority w:val="34"/>
    <w:qFormat/>
    <w:pPr>
      <w:contextualSpacing/>
      <w:ind w:left="720"/>
    </w:pPr>
  </w:style>
  <w:style w:type="paragraph" w:styleId="736">
    <w:name w:val="No Spacing"/>
    <w:uiPriority w:val="1"/>
    <w:qFormat/>
    <w:pPr>
      <w:spacing w:before="0" w:after="0" w:line="240" w:lineRule="auto"/>
    </w:pPr>
  </w:style>
  <w:style w:type="paragraph" w:styleId="737">
    <w:name w:val="Title"/>
    <w:basedOn w:val="895"/>
    <w:next w:val="895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link w:val="737"/>
    <w:uiPriority w:val="10"/>
    <w:rPr>
      <w:sz w:val="48"/>
      <w:szCs w:val="48"/>
    </w:rPr>
  </w:style>
  <w:style w:type="paragraph" w:styleId="739">
    <w:name w:val="Subtitle"/>
    <w:basedOn w:val="895"/>
    <w:next w:val="895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link w:val="739"/>
    <w:uiPriority w:val="11"/>
    <w:rPr>
      <w:sz w:val="24"/>
      <w:szCs w:val="24"/>
    </w:rPr>
  </w:style>
  <w:style w:type="paragraph" w:styleId="741">
    <w:name w:val="Quote"/>
    <w:basedOn w:val="895"/>
    <w:next w:val="895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5"/>
    <w:next w:val="895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paragraph" w:styleId="745">
    <w:name w:val="Header"/>
    <w:basedOn w:val="895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>
    <w:name w:val="Header Char"/>
    <w:link w:val="745"/>
    <w:uiPriority w:val="99"/>
  </w:style>
  <w:style w:type="paragraph" w:styleId="747">
    <w:name w:val="Footer"/>
    <w:basedOn w:val="895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Footer Char"/>
    <w:link w:val="747"/>
    <w:uiPriority w:val="99"/>
  </w:style>
  <w:style w:type="paragraph" w:styleId="749">
    <w:name w:val="Caption"/>
    <w:basedOn w:val="895"/>
    <w:next w:val="895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link w:val="749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9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9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5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5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5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5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5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5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5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next w:val="895"/>
    <w:link w:val="895"/>
    <w:qFormat/>
    <w:rPr>
      <w:sz w:val="24"/>
      <w:szCs w:val="24"/>
      <w:lang w:val="ru-RU" w:eastAsia="ru-RU" w:bidi="ar-SA"/>
    </w:rPr>
  </w:style>
  <w:style w:type="character" w:styleId="896">
    <w:name w:val="Основной шрифт абзаца"/>
    <w:next w:val="896"/>
    <w:link w:val="895"/>
    <w:semiHidden/>
  </w:style>
  <w:style w:type="table" w:styleId="897">
    <w:name w:val="Обычная таблица"/>
    <w:next w:val="897"/>
    <w:link w:val="895"/>
    <w:semiHidden/>
    <w:tblPr/>
  </w:style>
  <w:style w:type="numbering" w:styleId="898">
    <w:name w:val="Нет списка"/>
    <w:next w:val="898"/>
    <w:link w:val="895"/>
    <w:semiHidden/>
  </w:style>
  <w:style w:type="paragraph" w:styleId="899">
    <w:name w:val="Текст сноски"/>
    <w:basedOn w:val="895"/>
    <w:next w:val="899"/>
    <w:link w:val="895"/>
    <w:semiHidden/>
    <w:rPr>
      <w:sz w:val="20"/>
      <w:szCs w:val="20"/>
    </w:rPr>
  </w:style>
  <w:style w:type="character" w:styleId="900">
    <w:name w:val="Знак сноски"/>
    <w:next w:val="900"/>
    <w:link w:val="895"/>
    <w:semiHidden/>
    <w:rPr>
      <w:vertAlign w:val="superscript"/>
    </w:rPr>
  </w:style>
  <w:style w:type="paragraph" w:styleId="901">
    <w:name w:val="Текст выноски"/>
    <w:basedOn w:val="895"/>
    <w:next w:val="901"/>
    <w:link w:val="90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02">
    <w:name w:val="Текст выноски Знак"/>
    <w:next w:val="902"/>
    <w:link w:val="901"/>
    <w:uiPriority w:val="99"/>
    <w:semiHidden/>
    <w:rPr>
      <w:rFonts w:ascii="Segoe UI" w:hAnsi="Segoe UI" w:cs="Segoe UI"/>
      <w:sz w:val="18"/>
      <w:szCs w:val="18"/>
    </w:rPr>
  </w:style>
  <w:style w:type="paragraph" w:styleId="903">
    <w:name w:val="ConsPlusTitle"/>
    <w:next w:val="903"/>
    <w:link w:val="895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904">
    <w:name w:val="ConsPlusDocList"/>
    <w:next w:val="904"/>
    <w:link w:val="895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905" w:default="1">
    <w:name w:val="Default Paragraph Font"/>
    <w:uiPriority w:val="1"/>
    <w:semiHidden/>
    <w:unhideWhenUsed/>
  </w:style>
  <w:style w:type="numbering" w:styleId="906" w:default="1">
    <w:name w:val="No List"/>
    <w:uiPriority w:val="99"/>
    <w:semiHidden/>
    <w:unhideWhenUsed/>
  </w:style>
  <w:style w:type="table" w:styleId="907" w:default="1">
    <w:name w:val="Normal Table"/>
    <w:uiPriority w:val="99"/>
    <w:semiHidden/>
    <w:unhideWhenUsed/>
    <w:tblPr/>
  </w:style>
  <w:style w:type="paragraph" w:styleId="908" w:customStyle="1">
    <w:name w:val="Default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9" w:customStyle="1">
    <w:name w:val="p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0" w:customStyle="1">
    <w:name w:val="Обычный (веб),Обычный (Web),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25" w:lineRule="atLeas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Verdana" w:hAnsi="Verdana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480000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character" w:styleId="911" w:customStyle="1">
    <w:name w:val="Основной текст + 10 pt;Интервал 0 pt1"/>
    <w:qFormat/>
    <w:rPr>
      <w:rFonts w:ascii="Times New Roman" w:hAnsi="Times New Roman" w:eastAsia="Times New Roman" w:cs="Times New Roman"/>
      <w:color w:val="000000"/>
      <w:spacing w:val="6"/>
      <w:position w:val="0"/>
      <w:sz w:val="20"/>
      <w:szCs w:val="20"/>
      <w:u w:val="none"/>
      <w:lang w:val="ru-RU" w:eastAsia="ru-RU" w:bidi="ru-RU"/>
    </w:rPr>
  </w:style>
  <w:style w:type="character" w:styleId="912" w:customStyle="1">
    <w:name w:val="Строгий"/>
    <w:qFormat/>
    <w:rPr>
      <w:b/>
      <w:bCs/>
    </w:rPr>
  </w:style>
  <w:style w:type="paragraph" w:styleId="913" w:customStyle="1">
    <w:name w:val="Body Text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14" w:customStyle="1">
    <w:name w:val="Основной текст 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5" w:customStyle="1">
    <w:name w:val="Обычный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MinEc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пояснительной записки</dc:title>
  <dc:creator>nozdracheva</dc:creator>
  <cp:lastModifiedBy>ekonomika-4</cp:lastModifiedBy>
  <cp:revision>12</cp:revision>
  <dcterms:created xsi:type="dcterms:W3CDTF">2021-04-12T10:42:00Z</dcterms:created>
  <dcterms:modified xsi:type="dcterms:W3CDTF">2026-04-23T13:59:54Z</dcterms:modified>
  <cp:version>1048576</cp:version>
</cp:coreProperties>
</file>